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277D4A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277D4A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277D4A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277D4A" w:rsidRDefault="0032143B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Яковлевского</w:t>
          </w:r>
          <w:r w:rsidR="00D15133"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277D4A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277D4A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r w:rsidR="0035755A" w:rsidRPr="00277D4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277D4A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277D4A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277D4A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277D4A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277D4A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277D4A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277D4A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277D4A" w:rsidRDefault="0032143B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ЯКОВЛЕВСКОГО</w:t>
          </w:r>
          <w:r w:rsidR="00D15133"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277D4A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277D4A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277D4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277D4A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D4A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277D4A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277D4A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277D4A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277D4A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277D4A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F77953" w:rsidRPr="00277D4A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277D4A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277D4A" w:rsidRDefault="00720158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277D4A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277D4A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277D4A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277D4A">
            <w:rPr>
              <w:rFonts w:cs="Times New Roman"/>
            </w:rPr>
            <w:fldChar w:fldCharType="begin"/>
          </w:r>
          <w:r w:rsidR="006E71EA" w:rsidRPr="00277D4A">
            <w:rPr>
              <w:rFonts w:cs="Times New Roman"/>
            </w:rPr>
            <w:instrText xml:space="preserve"> TOC \o "1-3" \h \z \u </w:instrText>
          </w:r>
          <w:r w:rsidRPr="00277D4A">
            <w:rPr>
              <w:rFonts w:cs="Times New Roman"/>
            </w:rPr>
            <w:fldChar w:fldCharType="separate"/>
          </w:r>
          <w:hyperlink w:anchor="_Toc501450132" w:history="1">
            <w:r w:rsidR="00E34374" w:rsidRPr="00277D4A">
              <w:rPr>
                <w:rStyle w:val="ad"/>
              </w:rPr>
              <w:t>1.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ОБЩИЕ ПОЛОЖЕНИЯ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_Toc501450132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4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277D4A">
              <w:rPr>
                <w:rStyle w:val="ad"/>
              </w:rPr>
              <w:t>2.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ПРАВИЛА И ОБЛАСТЬ ПРИМЕНЕНИЯ РАСЧЕТНЫХ ПОКАЗАТЕЛЕЙ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_Toc501450133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5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277D4A">
              <w:rPr>
                <w:rStyle w:val="ad"/>
              </w:rPr>
              <w:t>3.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 xml:space="preserve">КРАТКАЯ ХАРАКТЕРИСТИКА </w:t>
            </w:r>
            <w:r w:rsidR="0032143B" w:rsidRPr="00277D4A">
              <w:rPr>
                <w:rStyle w:val="ad"/>
              </w:rPr>
              <w:t>ЯКОВЛЕВСКОГО</w:t>
            </w:r>
            <w:r w:rsidR="00E34374" w:rsidRPr="00277D4A">
              <w:rPr>
                <w:rStyle w:val="ad"/>
              </w:rPr>
              <w:t xml:space="preserve"> СЕЛЬСКОГО ПОСЕЛЕНИЯ</w:t>
            </w:r>
            <w:r w:rsidR="00E34374" w:rsidRPr="00277D4A">
              <w:rPr>
                <w:webHidden/>
              </w:rPr>
              <w:tab/>
            </w:r>
            <w:r w:rsidR="0032143B" w:rsidRPr="00277D4A">
              <w:rPr>
                <w:webHidden/>
              </w:rPr>
              <w:t>……………………………………………………………………………………...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_Toc501450134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5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277D4A">
              <w:rPr>
                <w:rStyle w:val="ad"/>
              </w:rPr>
              <w:t>4.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ОСНОВНАЯ ЧАСТЬ</w:t>
            </w:r>
            <w:r w:rsidR="00E34374" w:rsidRPr="00277D4A">
              <w:rPr>
                <w:webHidden/>
              </w:rPr>
              <w:tab/>
            </w:r>
            <w:r w:rsidR="000B61F6" w:rsidRPr="00277D4A">
              <w:rPr>
                <w:webHidden/>
              </w:rPr>
              <w:t>7-12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277D4A">
              <w:rPr>
                <w:rStyle w:val="ad"/>
              </w:rPr>
              <w:t xml:space="preserve">4.1.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540292" w:rsidRPr="00277D4A">
              <w:rPr>
                <w:webHidden/>
              </w:rPr>
              <w:t>7-8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277D4A">
              <w:rPr>
                <w:rStyle w:val="ad"/>
              </w:rPr>
              <w:t xml:space="preserve">4.2.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277D4A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_Toc501450137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8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277D4A">
              <w:rPr>
                <w:rStyle w:val="ad"/>
              </w:rPr>
              <w:t xml:space="preserve">4.3.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_Toc501450138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9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277D4A">
              <w:rPr>
                <w:rStyle w:val="ad"/>
              </w:rPr>
              <w:t xml:space="preserve">4.4.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540292" w:rsidRPr="00277D4A">
              <w:rPr>
                <w:webHidden/>
              </w:rPr>
              <w:t>9-10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277D4A">
              <w:rPr>
                <w:rStyle w:val="ad"/>
              </w:rPr>
              <w:t xml:space="preserve">4.5.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277D4A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_Toc501450140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10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Style w:val="ad"/>
            </w:rPr>
          </w:pPr>
          <w:hyperlink w:anchor="_Toc501450141" w:history="1">
            <w:r w:rsidR="00E34374" w:rsidRPr="00277D4A">
              <w:rPr>
                <w:rStyle w:val="ad"/>
              </w:rPr>
              <w:t xml:space="preserve">4.6.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_Toc501450141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</w:t>
            </w:r>
            <w:r w:rsidR="00540292" w:rsidRPr="00277D4A">
              <w:rPr>
                <w:webHidden/>
              </w:rPr>
              <w:t>0-11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540292" w:rsidRPr="00277D4A" w:rsidRDefault="00540292" w:rsidP="00540292">
          <w:pPr>
            <w:rPr>
              <w:lang w:eastAsia="zh-CN" w:bidi="hi-IN"/>
            </w:rPr>
          </w:pPr>
        </w:p>
        <w:p w:rsidR="00540292" w:rsidRPr="00277D4A" w:rsidRDefault="00540292" w:rsidP="00540292">
          <w:pPr>
            <w:rPr>
              <w:lang w:eastAsia="zh-CN" w:bidi="hi-IN"/>
            </w:rPr>
          </w:pPr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277D4A">
              <w:rPr>
                <w:rStyle w:val="ad"/>
              </w:rPr>
              <w:t xml:space="preserve">4.7.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_Toc501450143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11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277D4A">
              <w:rPr>
                <w:rStyle w:val="ad"/>
              </w:rPr>
              <w:t xml:space="preserve">4.8.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_Toc501450144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</w:t>
            </w:r>
            <w:r w:rsidR="00540292" w:rsidRPr="00277D4A">
              <w:rPr>
                <w:webHidden/>
              </w:rPr>
              <w:t>1-12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277D4A">
              <w:rPr>
                <w:rStyle w:val="ad"/>
              </w:rPr>
              <w:t xml:space="preserve">4.9.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_Toc501450145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12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277D4A">
              <w:rPr>
                <w:rStyle w:val="ad"/>
              </w:rPr>
              <w:t xml:space="preserve">4.10. Расчетные показатели </w:t>
            </w:r>
            <w:r w:rsidR="00E34374" w:rsidRPr="00277D4A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277D4A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_Toc501450146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12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277D4A">
              <w:rPr>
                <w:rStyle w:val="ad"/>
              </w:rPr>
              <w:t>5.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_Toc501450147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</w:t>
            </w:r>
            <w:r w:rsidR="000B61F6" w:rsidRPr="00277D4A">
              <w:rPr>
                <w:webHidden/>
              </w:rPr>
              <w:t>3-20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277D4A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277D4A">
              <w:rPr>
                <w:webHidden/>
              </w:rPr>
              <w:tab/>
              <w:t>13-16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277D4A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_Toc501450149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16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277D4A">
              <w:rPr>
                <w:rStyle w:val="ad"/>
              </w:rPr>
              <w:t xml:space="preserve">5.3. Рекомендации к </w:t>
            </w:r>
            <w:r w:rsidR="00E34374" w:rsidRPr="00277D4A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277D4A">
              <w:rPr>
                <w:webHidden/>
              </w:rPr>
              <w:tab/>
              <w:t>16-17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277D4A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_Toc501450152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17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277D4A">
              <w:rPr>
                <w:rStyle w:val="ad"/>
              </w:rPr>
              <w:t xml:space="preserve">5.5. Рекомендации к </w:t>
            </w:r>
            <w:r w:rsidR="00E34374" w:rsidRPr="00277D4A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277D4A">
              <w:rPr>
                <w:webHidden/>
              </w:rPr>
              <w:tab/>
              <w:t>17-18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277D4A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277D4A">
              <w:rPr>
                <w:webHidden/>
              </w:rPr>
              <w:tab/>
              <w:t>18-19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277D4A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277D4A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277D4A">
              <w:rPr>
                <w:webHidden/>
              </w:rPr>
              <w:tab/>
            </w:r>
            <w:r w:rsidR="00E34374" w:rsidRPr="00277D4A">
              <w:rPr>
                <w:webHidden/>
              </w:rPr>
              <w:fldChar w:fldCharType="begin"/>
            </w:r>
            <w:r w:rsidR="00E34374" w:rsidRPr="00277D4A">
              <w:rPr>
                <w:webHidden/>
              </w:rPr>
              <w:instrText xml:space="preserve"> PAGEREF _Toc501450155 \h </w:instrText>
            </w:r>
            <w:r w:rsidR="00E34374" w:rsidRPr="00277D4A">
              <w:rPr>
                <w:webHidden/>
              </w:rPr>
            </w:r>
            <w:r w:rsidR="00E34374" w:rsidRPr="00277D4A">
              <w:rPr>
                <w:webHidden/>
              </w:rPr>
              <w:fldChar w:fldCharType="separate"/>
            </w:r>
            <w:r w:rsidR="00E34374" w:rsidRPr="00277D4A">
              <w:rPr>
                <w:webHidden/>
              </w:rPr>
              <w:t>19</w:t>
            </w:r>
            <w:r w:rsidR="00E34374" w:rsidRPr="00277D4A">
              <w:rPr>
                <w:webHidden/>
              </w:rPr>
              <w:fldChar w:fldCharType="end"/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277D4A">
              <w:rPr>
                <w:rStyle w:val="ad"/>
              </w:rPr>
              <w:t xml:space="preserve">5.8. Рекомендации к </w:t>
            </w:r>
            <w:r w:rsidR="00E34374" w:rsidRPr="00277D4A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277D4A">
              <w:rPr>
                <w:webHidden/>
              </w:rPr>
              <w:tab/>
              <w:t>19-20</w:t>
            </w:r>
          </w:hyperlink>
        </w:p>
        <w:p w:rsidR="00E34374" w:rsidRPr="00277D4A" w:rsidRDefault="00720158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277D4A">
              <w:rPr>
                <w:rStyle w:val="ad"/>
              </w:rPr>
              <w:t>6.</w:t>
            </w:r>
            <w:r w:rsidR="00E34374" w:rsidRPr="00277D4A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277D4A">
              <w:rPr>
                <w:rStyle w:val="ad"/>
              </w:rPr>
              <w:t>МАТЕРИАЛЫ ПО ОБОСНОВАНИЮ РАСЧЕТНЫХ ПОКАЗАТЕЛЕЙ</w:t>
            </w:r>
            <w:r w:rsidR="00E34374" w:rsidRPr="00277D4A">
              <w:rPr>
                <w:webHidden/>
              </w:rPr>
              <w:tab/>
              <w:t>21-22</w:t>
            </w:r>
          </w:hyperlink>
        </w:p>
        <w:p w:rsidR="006E71EA" w:rsidRPr="00277D4A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77D4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277D4A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277D4A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277D4A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277D4A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32143B" w:rsidRPr="00277D4A">
        <w:rPr>
          <w:rFonts w:ascii="Times New Roman" w:hAnsi="Times New Roman" w:cs="Times New Roman"/>
          <w:sz w:val="28"/>
          <w:szCs w:val="28"/>
        </w:rPr>
        <w:t>Яковлевского</w:t>
      </w:r>
      <w:r w:rsidR="00BB076B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277D4A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5E89" w:rsidRPr="00277D4A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277D4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277D4A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277D4A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277D4A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277D4A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277D4A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277D4A">
        <w:rPr>
          <w:rFonts w:ascii="Times New Roman" w:hAnsi="Times New Roman" w:cs="Times New Roman"/>
          <w:sz w:val="28"/>
          <w:szCs w:val="28"/>
        </w:rPr>
        <w:t>,</w:t>
      </w:r>
      <w:r w:rsidR="00841B50" w:rsidRPr="00277D4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277D4A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277D4A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277D4A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277D4A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277D4A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277D4A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277D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277D4A">
        <w:rPr>
          <w:rFonts w:ascii="Times New Roman" w:hAnsi="Times New Roman" w:cs="Times New Roman"/>
          <w:sz w:val="28"/>
          <w:szCs w:val="28"/>
        </w:rPr>
        <w:t>.</w:t>
      </w:r>
    </w:p>
    <w:p w:rsidR="00AD08E0" w:rsidRPr="00277D4A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277D4A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277D4A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277D4A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277D4A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277D4A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277D4A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277D4A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277D4A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AD7F6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277D4A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AD7F6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277D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277D4A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277D4A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277D4A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277D4A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277D4A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277D4A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277D4A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277D4A">
        <w:rPr>
          <w:sz w:val="28"/>
          <w:szCs w:val="28"/>
          <w:lang w:eastAsia="zh-CN" w:bidi="hi-IN"/>
        </w:rPr>
        <w:t xml:space="preserve">КРАТКАЯ </w:t>
      </w:r>
      <w:r w:rsidRPr="00277D4A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r w:rsidR="0032143B" w:rsidRPr="00277D4A">
        <w:rPr>
          <w:color w:val="000000" w:themeColor="text1"/>
          <w:sz w:val="28"/>
          <w:szCs w:val="28"/>
          <w:lang w:eastAsia="zh-CN" w:bidi="hi-IN"/>
        </w:rPr>
        <w:t>ЯКОВЛЕВСКОГО</w:t>
      </w:r>
      <w:r w:rsidR="00BB076B" w:rsidRPr="00277D4A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277D4A">
        <w:rPr>
          <w:sz w:val="28"/>
          <w:szCs w:val="28"/>
          <w:lang w:eastAsia="zh-CN" w:bidi="hi-IN"/>
        </w:rPr>
        <w:t>СЕЛЬСКОГО ПОСЕЛЕНИЯ</w:t>
      </w:r>
      <w:bookmarkEnd w:id="4"/>
    </w:p>
    <w:p w:rsidR="000C51EB" w:rsidRPr="00277D4A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3.1. </w:t>
      </w:r>
      <w:r w:rsidR="00A82A36" w:rsidRPr="00277D4A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AD7F60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277D4A">
        <w:rPr>
          <w:rFonts w:ascii="Times New Roman" w:hAnsi="Times New Roman"/>
          <w:sz w:val="28"/>
          <w:szCs w:val="28"/>
        </w:rPr>
        <w:t xml:space="preserve"> </w:t>
      </w:r>
      <w:r w:rsidR="005E1B0D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A82A36" w:rsidRPr="00277D4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277D4A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277D4A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277D4A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456"/>
        <w:gridCol w:w="3926"/>
      </w:tblGrid>
      <w:tr w:rsidR="00A82A36" w:rsidRPr="00277D4A" w:rsidTr="00610D83">
        <w:trPr>
          <w:trHeight w:val="807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277D4A" w:rsidTr="00D06236">
        <w:trPr>
          <w:trHeight w:val="1744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32143B" w:rsidRPr="00277D4A" w:rsidRDefault="0032143B" w:rsidP="0032143B">
            <w:pPr>
              <w:tabs>
                <w:tab w:val="left" w:pos="6325"/>
                <w:tab w:val="left" w:pos="8926"/>
                <w:tab w:val="left" w:pos="9390"/>
              </w:tabs>
              <w:ind w:firstLine="720"/>
              <w:rPr>
                <w:szCs w:val="28"/>
              </w:rPr>
            </w:pPr>
            <w:r w:rsidRPr="00277D4A">
              <w:rPr>
                <w:szCs w:val="28"/>
              </w:rPr>
              <w:t>Яковлевское сельское поселение расположено на северо-востоке Республики Татарстан, в юго-западной части Елабужского муниципального района. Яковлевское сельское поселение граничит на севере с Большееловским сельским поселением, на востоке с Мурзихинским сельским поселением, на юге и юго-востоке с Костенеевским сельским поселением Елабужского муниципального района, на западе с Малмыжским и Отарским сельскими поселениями Мамадышского муниципального района.</w:t>
            </w:r>
          </w:p>
          <w:p w:rsidR="00A82A36" w:rsidRPr="00277D4A" w:rsidRDefault="00A82A36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A36" w:rsidRPr="00277D4A" w:rsidTr="00D06236">
        <w:trPr>
          <w:trHeight w:val="704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szCs w:val="28"/>
              </w:rPr>
              <w:t xml:space="preserve">Общая площадь Яковлевского сельского поселения составляет </w:t>
            </w:r>
            <w:smartTag w:uri="urn:schemas-microsoft-com:office:smarttags" w:element="metricconverter">
              <w:smartTagPr>
                <w:attr w:name="ProductID" w:val="9128,9 га"/>
              </w:smartTagPr>
              <w:r w:rsidRPr="00277D4A">
                <w:rPr>
                  <w:szCs w:val="28"/>
                </w:rPr>
                <w:t>9128,9 га</w:t>
              </w:r>
            </w:smartTag>
            <w:r w:rsidRPr="00277D4A">
              <w:rPr>
                <w:szCs w:val="28"/>
              </w:rPr>
              <w:t xml:space="preserve">, в т.ч. площадь с.Яковлево – </w:t>
            </w:r>
            <w:smartTag w:uri="urn:schemas-microsoft-com:office:smarttags" w:element="metricconverter">
              <w:smartTagPr>
                <w:attr w:name="ProductID" w:val="114,6 га"/>
              </w:smartTagPr>
              <w:r w:rsidRPr="00277D4A">
                <w:rPr>
                  <w:szCs w:val="28"/>
                </w:rPr>
                <w:t>114,6 га</w:t>
              </w:r>
            </w:smartTag>
            <w:r w:rsidRPr="00277D4A">
              <w:rPr>
                <w:szCs w:val="28"/>
              </w:rPr>
              <w:t xml:space="preserve">, село Бессониха – </w:t>
            </w:r>
            <w:smartTag w:uri="urn:schemas-microsoft-com:office:smarttags" w:element="metricconverter">
              <w:smartTagPr>
                <w:attr w:name="ProductID" w:val="19,3 га"/>
              </w:smartTagPr>
              <w:r w:rsidRPr="00277D4A">
                <w:rPr>
                  <w:szCs w:val="28"/>
                </w:rPr>
                <w:t>19,3 га</w:t>
              </w:r>
            </w:smartTag>
            <w:r w:rsidRPr="00277D4A">
              <w:rPr>
                <w:szCs w:val="28"/>
              </w:rPr>
              <w:t xml:space="preserve">, с.Новая Анзирка – </w:t>
            </w:r>
            <w:smartTag w:uri="urn:schemas-microsoft-com:office:smarttags" w:element="metricconverter">
              <w:smartTagPr>
                <w:attr w:name="ProductID" w:val="103,1 га"/>
              </w:smartTagPr>
              <w:r w:rsidRPr="00277D4A">
                <w:rPr>
                  <w:szCs w:val="28"/>
                </w:rPr>
                <w:t>103,1 га</w:t>
              </w:r>
            </w:smartTag>
            <w:r w:rsidRPr="00277D4A">
              <w:rPr>
                <w:szCs w:val="28"/>
              </w:rPr>
              <w:t xml:space="preserve">,  д.Черенга  - </w:t>
            </w:r>
            <w:smartTag w:uri="urn:schemas-microsoft-com:office:smarttags" w:element="metricconverter">
              <w:smartTagPr>
                <w:attr w:name="ProductID" w:val="135,2 га"/>
              </w:smartTagPr>
              <w:r w:rsidRPr="00277D4A">
                <w:rPr>
                  <w:szCs w:val="28"/>
                </w:rPr>
                <w:t>135,2 га</w:t>
              </w:r>
            </w:smartTag>
            <w:r w:rsidRPr="00277D4A">
              <w:rPr>
                <w:szCs w:val="28"/>
              </w:rPr>
              <w:t xml:space="preserve">,  д.Чирши  - </w:t>
            </w:r>
            <w:smartTag w:uri="urn:schemas-microsoft-com:office:smarttags" w:element="metricconverter">
              <w:smartTagPr>
                <w:attr w:name="ProductID" w:val="34,1 га"/>
              </w:smartTagPr>
              <w:r w:rsidRPr="00277D4A">
                <w:rPr>
                  <w:szCs w:val="28"/>
                </w:rPr>
                <w:t>34,1 га</w:t>
              </w:r>
            </w:smartTag>
            <w:r w:rsidRPr="00277D4A">
              <w:rPr>
                <w:szCs w:val="28"/>
              </w:rPr>
              <w:t xml:space="preserve">, п.Мамыловка – </w:t>
            </w:r>
            <w:smartTag w:uri="urn:schemas-microsoft-com:office:smarttags" w:element="metricconverter">
              <w:smartTagPr>
                <w:attr w:name="ProductID" w:val="17,5 га"/>
              </w:smartTagPr>
              <w:r w:rsidRPr="00277D4A">
                <w:rPr>
                  <w:szCs w:val="28"/>
                </w:rPr>
                <w:t>17,5 га</w:t>
              </w:r>
            </w:smartTag>
          </w:p>
        </w:tc>
      </w:tr>
      <w:tr w:rsidR="00A82A36" w:rsidRPr="00277D4A" w:rsidTr="00307949">
        <w:trPr>
          <w:trHeight w:val="1087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32143B" w:rsidRPr="00277D4A" w:rsidRDefault="0032143B" w:rsidP="00B81B61">
            <w:pPr>
              <w:pStyle w:val="a6"/>
              <w:rPr>
                <w:szCs w:val="28"/>
              </w:rPr>
            </w:pPr>
            <w:r w:rsidRPr="00277D4A">
              <w:rPr>
                <w:szCs w:val="28"/>
              </w:rPr>
              <w:t xml:space="preserve">с.Яковлево  (административный центр),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r w:rsidRPr="00277D4A">
              <w:rPr>
                <w:szCs w:val="28"/>
              </w:rPr>
              <w:t xml:space="preserve">с.Бессониха,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r w:rsidRPr="00277D4A">
              <w:rPr>
                <w:szCs w:val="28"/>
              </w:rPr>
              <w:t xml:space="preserve">с.Новая Анзирка,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r w:rsidRPr="00277D4A">
              <w:rPr>
                <w:szCs w:val="28"/>
              </w:rPr>
              <w:t xml:space="preserve">д.Черенга, </w:t>
            </w:r>
          </w:p>
          <w:p w:rsidR="0032143B" w:rsidRPr="00277D4A" w:rsidRDefault="0032143B" w:rsidP="00B81B61">
            <w:pPr>
              <w:pStyle w:val="a6"/>
              <w:rPr>
                <w:szCs w:val="28"/>
              </w:rPr>
            </w:pPr>
            <w:r w:rsidRPr="00277D4A">
              <w:rPr>
                <w:szCs w:val="28"/>
              </w:rPr>
              <w:t xml:space="preserve">д.Чирши, </w:t>
            </w:r>
          </w:p>
          <w:p w:rsidR="007750B6" w:rsidRPr="00277D4A" w:rsidRDefault="0032143B" w:rsidP="00B81B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szCs w:val="28"/>
              </w:rPr>
              <w:t>п.Мамыловка</w:t>
            </w:r>
          </w:p>
        </w:tc>
      </w:tr>
      <w:tr w:rsidR="00A82A36" w:rsidRPr="00277D4A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277D4A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A82A36" w:rsidRPr="00277D4A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с.Яковлево</w:t>
            </w:r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с.Бессониха</w:t>
            </w:r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с.Новая Анзирка</w:t>
            </w:r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д.Чирши</w:t>
            </w:r>
          </w:p>
          <w:p w:rsidR="0032143B" w:rsidRPr="00277D4A" w:rsidRDefault="0032143B" w:rsidP="0032143B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д.Черенга</w:t>
            </w:r>
          </w:p>
          <w:p w:rsidR="00A82A36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п.Мамыловка</w:t>
            </w:r>
          </w:p>
        </w:tc>
        <w:tc>
          <w:tcPr>
            <w:tcW w:w="3969" w:type="dxa"/>
          </w:tcPr>
          <w:p w:rsidR="00A654A6" w:rsidRPr="00277D4A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2143B" w:rsidRPr="00277D4A" w:rsidRDefault="0032143B" w:rsidP="003214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750B6" w:rsidRPr="00277D4A" w:rsidRDefault="0032143B" w:rsidP="0032143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A36" w:rsidRPr="00277D4A" w:rsidTr="00D06236">
        <w:trPr>
          <w:trHeight w:val="402"/>
        </w:trPr>
        <w:tc>
          <w:tcPr>
            <w:tcW w:w="709" w:type="dxa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A82A36" w:rsidRPr="00277D4A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277D4A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82A36" w:rsidRPr="00277D4A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A82A36" w:rsidRPr="00277D4A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A82A36" w:rsidRPr="00277D4A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277D4A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277D4A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277D4A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277D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277D4A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</w:tr>
      <w:tr w:rsidR="00A82A36" w:rsidRPr="00277D4A" w:rsidTr="00045EFC">
        <w:trPr>
          <w:trHeight w:val="732"/>
        </w:trPr>
        <w:tc>
          <w:tcPr>
            <w:tcW w:w="709" w:type="dxa"/>
            <w:vAlign w:val="center"/>
          </w:tcPr>
          <w:p w:rsidR="00A82A36" w:rsidRPr="00277D4A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277D4A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277D4A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277D4A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277D4A" w:rsidRDefault="0032143B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</w:tr>
      <w:tr w:rsidR="00A82A36" w:rsidRPr="00277D4A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277D4A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277D4A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277D4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277D4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277D4A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климатический район </w:t>
            </w:r>
          </w:p>
          <w:p w:rsidR="00A82A36" w:rsidRPr="00277D4A" w:rsidRDefault="00F52983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(согласно карте климатического </w:t>
            </w:r>
            <w:r w:rsidR="00A82A36"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277D4A" w:rsidRDefault="00D36884" w:rsidP="00FC733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277D4A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277D4A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277D4A" w:rsidRDefault="00F75DB8" w:rsidP="00FF3E1F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277D4A" w:rsidRDefault="00F75DB8" w:rsidP="00FF3E1F">
            <w:pPr>
              <w:pStyle w:val="a6"/>
              <w:ind w:left="3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277D4A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C7336"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FC7336" w:rsidRPr="00277D4A" w:rsidRDefault="00FC7336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277D4A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277D4A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277D4A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277D4A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277D4A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277D4A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5" w:name="_Toc501450135"/>
      <w:r w:rsidRPr="00277D4A">
        <w:rPr>
          <w:sz w:val="28"/>
          <w:szCs w:val="28"/>
          <w:lang w:eastAsia="zh-CN" w:bidi="hi-IN"/>
        </w:rPr>
        <w:t>ОСНОВНАЯ ЧАСТЬ</w:t>
      </w:r>
      <w:bookmarkEnd w:id="5"/>
    </w:p>
    <w:p w:rsidR="00473A57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6" w:name="_Toc501450136"/>
      <w:r w:rsidRPr="00277D4A">
        <w:rPr>
          <w:sz w:val="28"/>
          <w:szCs w:val="28"/>
          <w:lang w:eastAsia="zh-CN" w:bidi="hi-IN"/>
        </w:rPr>
        <w:t>4</w:t>
      </w:r>
      <w:r w:rsidR="006E71EA" w:rsidRPr="00277D4A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1F2CF0" w:rsidRPr="00277D4A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1F2CF0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6"/>
    </w:p>
    <w:p w:rsidR="00262BAB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77D4A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277D4A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4</w:t>
      </w:r>
      <w:r w:rsidR="00262BAB" w:rsidRPr="00277D4A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277D4A">
        <w:rPr>
          <w:rFonts w:ascii="Times New Roman" w:hAnsi="Times New Roman" w:cs="Times New Roman"/>
          <w:sz w:val="28"/>
          <w:szCs w:val="28"/>
        </w:rPr>
        <w:t>2</w:t>
      </w:r>
      <w:r w:rsidR="00262BAB" w:rsidRPr="00277D4A">
        <w:rPr>
          <w:rFonts w:ascii="Times New Roman" w:hAnsi="Times New Roman" w:cs="Times New Roman"/>
          <w:sz w:val="28"/>
          <w:szCs w:val="28"/>
        </w:rPr>
        <w:t>.</w:t>
      </w:r>
    </w:p>
    <w:p w:rsidR="00262BAB" w:rsidRPr="00277D4A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D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277D4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277D4A" w:rsidTr="00610D83">
        <w:trPr>
          <w:trHeight w:val="1509"/>
        </w:trPr>
        <w:tc>
          <w:tcPr>
            <w:tcW w:w="567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277D4A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277D4A" w:rsidTr="00F248DA">
        <w:trPr>
          <w:trHeight w:val="2475"/>
        </w:trPr>
        <w:tc>
          <w:tcPr>
            <w:tcW w:w="567" w:type="dxa"/>
            <w:vAlign w:val="center"/>
          </w:tcPr>
          <w:p w:rsidR="00262BAB" w:rsidRPr="00277D4A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262BAB" w:rsidRPr="00277D4A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277D4A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277D4A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277D4A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277D4A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277D4A" w:rsidTr="00F248DA">
        <w:trPr>
          <w:trHeight w:val="3248"/>
        </w:trPr>
        <w:tc>
          <w:tcPr>
            <w:tcW w:w="567" w:type="dxa"/>
            <w:vAlign w:val="center"/>
          </w:tcPr>
          <w:p w:rsidR="001D5FAB" w:rsidRPr="00277D4A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277D4A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277D4A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277D4A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277D4A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277D4A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теплогенераторы, </w:t>
            </w:r>
            <w:r w:rsidR="00435BAB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277D4A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277D4A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277D4A" w:rsidTr="00F248DA">
        <w:trPr>
          <w:trHeight w:val="2401"/>
        </w:trPr>
        <w:tc>
          <w:tcPr>
            <w:tcW w:w="567" w:type="dxa"/>
            <w:vAlign w:val="center"/>
          </w:tcPr>
          <w:p w:rsidR="003B238E" w:rsidRPr="00277D4A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277D4A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277D4A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277D4A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277D4A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277D4A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277D4A" w:rsidTr="006619B0">
        <w:trPr>
          <w:trHeight w:val="2259"/>
        </w:trPr>
        <w:tc>
          <w:tcPr>
            <w:tcW w:w="567" w:type="dxa"/>
            <w:vAlign w:val="center"/>
          </w:tcPr>
          <w:p w:rsidR="001D5FAB" w:rsidRPr="00277D4A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277D4A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277D4A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277D4A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277D4A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277D4A" w:rsidTr="006619B0">
        <w:trPr>
          <w:trHeight w:val="3679"/>
        </w:trPr>
        <w:tc>
          <w:tcPr>
            <w:tcW w:w="567" w:type="dxa"/>
            <w:vAlign w:val="center"/>
          </w:tcPr>
          <w:p w:rsidR="003A3834" w:rsidRPr="00277D4A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277D4A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277D4A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277D4A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277D4A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277D4A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D4A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277D4A">
        <w:rPr>
          <w:rFonts w:ascii="Times New Roman" w:hAnsi="Times New Roman" w:cs="Times New Roman"/>
          <w:sz w:val="24"/>
          <w:szCs w:val="24"/>
        </w:rPr>
        <w:t>р</w:t>
      </w:r>
      <w:r w:rsidRPr="00277D4A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277D4A">
        <w:rPr>
          <w:rFonts w:ascii="Times New Roman" w:hAnsi="Times New Roman" w:cs="Times New Roman"/>
          <w:sz w:val="24"/>
          <w:szCs w:val="24"/>
        </w:rPr>
        <w:t>.</w:t>
      </w:r>
    </w:p>
    <w:p w:rsidR="00F248DA" w:rsidRPr="00277D4A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277D4A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7" w:name="_Toc501450137"/>
      <w:r w:rsidRPr="00277D4A">
        <w:rPr>
          <w:sz w:val="28"/>
          <w:szCs w:val="28"/>
          <w:lang w:eastAsia="zh-CN" w:bidi="hi-IN"/>
        </w:rPr>
        <w:t>4</w:t>
      </w:r>
      <w:r w:rsidR="001F2CF0" w:rsidRPr="00277D4A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277D4A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277D4A">
        <w:rPr>
          <w:sz w:val="28"/>
          <w:szCs w:val="28"/>
          <w:shd w:val="clear" w:color="auto" w:fill="FFFFFF"/>
        </w:rPr>
        <w:t xml:space="preserve">,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666E53" w:rsidRPr="00277D4A">
        <w:rPr>
          <w:sz w:val="28"/>
          <w:szCs w:val="28"/>
          <w:shd w:val="clear" w:color="auto" w:fill="FFFFFF"/>
        </w:rPr>
        <w:t xml:space="preserve"> поселения</w:t>
      </w:r>
      <w:r w:rsidR="001F2CF0" w:rsidRPr="00277D4A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1F2CF0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F248DA" w:rsidRPr="00277D4A" w:rsidRDefault="00F248DA" w:rsidP="00F248DA"/>
    <w:p w:rsidR="00927A43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277D4A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277D4A" w:rsidTr="00265869">
        <w:trPr>
          <w:trHeight w:val="1143"/>
        </w:trPr>
        <w:tc>
          <w:tcPr>
            <w:tcW w:w="567" w:type="dxa"/>
            <w:vAlign w:val="center"/>
          </w:tcPr>
          <w:p w:rsidR="009D1715" w:rsidRPr="00277D4A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277D4A" w:rsidTr="00265869">
        <w:trPr>
          <w:trHeight w:val="578"/>
        </w:trPr>
        <w:tc>
          <w:tcPr>
            <w:tcW w:w="567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277D4A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277D4A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277D4A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277D4A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8" w:name="_Toc501450138"/>
      <w:r w:rsidRPr="00277D4A">
        <w:rPr>
          <w:sz w:val="28"/>
          <w:szCs w:val="28"/>
          <w:lang w:eastAsia="zh-CN" w:bidi="hi-IN"/>
        </w:rPr>
        <w:t>4</w:t>
      </w:r>
      <w:r w:rsidR="009D20C3" w:rsidRPr="00277D4A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9D20C3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9D20C3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277D4A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277D4A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277D4A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277D4A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277D4A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277D4A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277D4A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277D4A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277D4A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277D4A" w:rsidTr="006619B0">
        <w:trPr>
          <w:trHeight w:val="978"/>
        </w:trPr>
        <w:tc>
          <w:tcPr>
            <w:tcW w:w="567" w:type="dxa"/>
            <w:vAlign w:val="center"/>
          </w:tcPr>
          <w:p w:rsidR="00EC0084" w:rsidRPr="00277D4A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277D4A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277D4A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277D4A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277D4A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277D4A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277D4A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Примечание. </w:t>
            </w:r>
          </w:p>
          <w:p w:rsidR="00EC0084" w:rsidRPr="00277D4A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277D4A" w:rsidRDefault="00F248DA" w:rsidP="00F248DA">
      <w:pPr>
        <w:rPr>
          <w:lang w:eastAsia="zh-CN" w:bidi="hi-IN"/>
        </w:rPr>
      </w:pPr>
    </w:p>
    <w:p w:rsidR="00F248DA" w:rsidRPr="00277D4A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9" w:name="_Toc501450139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BC2F6E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277D4A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277D4A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277D4A" w:rsidTr="006619B0">
        <w:trPr>
          <w:trHeight w:val="1193"/>
        </w:trPr>
        <w:tc>
          <w:tcPr>
            <w:tcW w:w="567" w:type="dxa"/>
            <w:vAlign w:val="center"/>
          </w:tcPr>
          <w:p w:rsidR="00E70AC7" w:rsidRPr="00277D4A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277D4A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277D4A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277D4A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277D4A" w:rsidTr="006619B0">
        <w:trPr>
          <w:trHeight w:val="2401"/>
        </w:trPr>
        <w:tc>
          <w:tcPr>
            <w:tcW w:w="567" w:type="dxa"/>
            <w:vAlign w:val="center"/>
          </w:tcPr>
          <w:p w:rsidR="00E70AC7" w:rsidRPr="00277D4A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277D4A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277D4A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277D4A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277D4A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277D4A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277D4A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277D4A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277D4A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277D4A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277D4A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277D4A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277D4A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277D4A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277D4A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277D4A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277D4A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1,5 тысяч человек (районных центров и подцентров) п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277D4A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277D4A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0" w:name="_Toc501450140"/>
      <w:r w:rsidRPr="00277D4A">
        <w:rPr>
          <w:sz w:val="28"/>
          <w:szCs w:val="28"/>
          <w:lang w:eastAsia="zh-CN" w:bidi="hi-IN"/>
        </w:rPr>
        <w:lastRenderedPageBreak/>
        <w:t xml:space="preserve">4.5. Расчетные показатели </w:t>
      </w:r>
      <w:r w:rsidRPr="00277D4A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0"/>
    </w:p>
    <w:p w:rsidR="00E01A28" w:rsidRPr="00277D4A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277D4A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277D4A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277D4A" w:rsidTr="00265869">
        <w:trPr>
          <w:trHeight w:val="1264"/>
        </w:trPr>
        <w:tc>
          <w:tcPr>
            <w:tcW w:w="567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277D4A" w:rsidTr="00265869">
        <w:trPr>
          <w:trHeight w:val="838"/>
        </w:trPr>
        <w:tc>
          <w:tcPr>
            <w:tcW w:w="567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277D4A" w:rsidTr="00265869">
        <w:trPr>
          <w:trHeight w:val="830"/>
        </w:trPr>
        <w:tc>
          <w:tcPr>
            <w:tcW w:w="567" w:type="dxa"/>
            <w:vAlign w:val="center"/>
          </w:tcPr>
          <w:p w:rsidR="00E01A28" w:rsidRPr="00277D4A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277D4A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277D4A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1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>.</w:t>
      </w:r>
      <w:r w:rsidR="00C43354" w:rsidRPr="00277D4A">
        <w:rPr>
          <w:sz w:val="28"/>
          <w:szCs w:val="28"/>
          <w:lang w:eastAsia="zh-CN" w:bidi="hi-IN"/>
        </w:rPr>
        <w:t>6</w:t>
      </w:r>
      <w:r w:rsidR="007E69C8" w:rsidRPr="00277D4A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277D4A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F14E0C" w:rsidRPr="00277D4A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277D4A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1"/>
    </w:p>
    <w:p w:rsidR="006619B0" w:rsidRPr="00277D4A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2" w:name="_Toc421957585"/>
      <w:bookmarkStart w:id="13" w:name="_Toc422349738"/>
      <w:bookmarkStart w:id="14" w:name="_Toc501106576"/>
      <w:bookmarkStart w:id="15" w:name="_Toc501450142"/>
      <w:bookmarkStart w:id="16" w:name="_Toc421297937"/>
      <w:r w:rsidRPr="00277D4A">
        <w:rPr>
          <w:b w:val="0"/>
          <w:sz w:val="28"/>
          <w:szCs w:val="28"/>
          <w:lang w:eastAsia="zh-CN" w:bidi="hi-IN"/>
        </w:rPr>
        <w:t>4</w:t>
      </w:r>
      <w:r w:rsidR="009D001C" w:rsidRPr="00277D4A">
        <w:rPr>
          <w:b w:val="0"/>
          <w:sz w:val="28"/>
          <w:szCs w:val="28"/>
          <w:lang w:eastAsia="zh-CN" w:bidi="hi-IN"/>
        </w:rPr>
        <w:t>.</w:t>
      </w:r>
      <w:r w:rsidR="00C43354" w:rsidRPr="00277D4A">
        <w:rPr>
          <w:b w:val="0"/>
          <w:sz w:val="28"/>
          <w:szCs w:val="28"/>
          <w:lang w:eastAsia="zh-CN" w:bidi="hi-IN"/>
        </w:rPr>
        <w:t>6</w:t>
      </w:r>
      <w:r w:rsidR="009D001C" w:rsidRPr="00277D4A">
        <w:rPr>
          <w:b w:val="0"/>
          <w:sz w:val="28"/>
          <w:szCs w:val="28"/>
          <w:lang w:eastAsia="zh-CN" w:bidi="hi-IN"/>
        </w:rPr>
        <w:t xml:space="preserve">.1. </w:t>
      </w:r>
      <w:r w:rsidR="00BB692E" w:rsidRPr="00277D4A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277D4A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277D4A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277D4A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277D4A">
        <w:rPr>
          <w:b w:val="0"/>
          <w:sz w:val="28"/>
          <w:szCs w:val="28"/>
          <w:lang w:eastAsia="zh-CN" w:bidi="hi-IN"/>
        </w:rPr>
        <w:t xml:space="preserve"> </w:t>
      </w:r>
      <w:r w:rsidR="005F5B8A" w:rsidRPr="00277D4A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277D4A">
        <w:rPr>
          <w:b w:val="0"/>
          <w:sz w:val="28"/>
          <w:szCs w:val="28"/>
          <w:lang w:eastAsia="zh-CN" w:bidi="hi-IN"/>
        </w:rPr>
        <w:t>7</w:t>
      </w:r>
      <w:r w:rsidR="005F5B8A" w:rsidRPr="00277D4A">
        <w:rPr>
          <w:b w:val="0"/>
          <w:sz w:val="28"/>
          <w:szCs w:val="28"/>
          <w:lang w:eastAsia="zh-CN" w:bidi="hi-IN"/>
        </w:rPr>
        <w:t>.</w:t>
      </w:r>
      <w:bookmarkEnd w:id="12"/>
      <w:bookmarkEnd w:id="13"/>
      <w:bookmarkEnd w:id="14"/>
      <w:bookmarkEnd w:id="15"/>
      <w:r w:rsidR="005F5B8A" w:rsidRPr="00277D4A">
        <w:rPr>
          <w:b w:val="0"/>
          <w:sz w:val="28"/>
          <w:szCs w:val="28"/>
          <w:lang w:eastAsia="zh-CN" w:bidi="hi-IN"/>
        </w:rPr>
        <w:t xml:space="preserve"> </w:t>
      </w:r>
      <w:bookmarkEnd w:id="16"/>
    </w:p>
    <w:p w:rsidR="006619B0" w:rsidRPr="00277D4A" w:rsidRDefault="006619B0" w:rsidP="006619B0">
      <w:pPr>
        <w:rPr>
          <w:lang w:eastAsia="zh-CN" w:bidi="hi-IN"/>
        </w:rPr>
      </w:pPr>
    </w:p>
    <w:p w:rsidR="006619B0" w:rsidRPr="00277D4A" w:rsidRDefault="006619B0" w:rsidP="006619B0">
      <w:pPr>
        <w:rPr>
          <w:lang w:eastAsia="zh-CN" w:bidi="hi-IN"/>
        </w:rPr>
      </w:pPr>
    </w:p>
    <w:p w:rsidR="005F5B8A" w:rsidRPr="00277D4A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277D4A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277D4A" w:rsidTr="00374288">
        <w:trPr>
          <w:trHeight w:val="1221"/>
        </w:trPr>
        <w:tc>
          <w:tcPr>
            <w:tcW w:w="567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277D4A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277D4A" w:rsidTr="00374288">
        <w:trPr>
          <w:trHeight w:val="798"/>
        </w:trPr>
        <w:tc>
          <w:tcPr>
            <w:tcW w:w="567" w:type="dxa"/>
            <w:vAlign w:val="center"/>
          </w:tcPr>
          <w:p w:rsidR="00BB692E" w:rsidRPr="00277D4A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277D4A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277D4A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277D4A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277D4A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277D4A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277D4A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277D4A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7" w:name="_Toc501450143"/>
      <w:r w:rsidRPr="00277D4A">
        <w:rPr>
          <w:sz w:val="28"/>
          <w:szCs w:val="28"/>
          <w:lang w:eastAsia="zh-CN" w:bidi="hi-IN"/>
        </w:rPr>
        <w:lastRenderedPageBreak/>
        <w:t>4</w:t>
      </w:r>
      <w:r w:rsidR="007E69C8" w:rsidRPr="00277D4A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F77953" w:rsidRPr="00277D4A">
        <w:rPr>
          <w:sz w:val="28"/>
          <w:szCs w:val="28"/>
          <w:shd w:val="clear" w:color="auto" w:fill="FFFFFF"/>
        </w:rPr>
        <w:t>твёрдых коммунальных</w:t>
      </w:r>
      <w:r w:rsidR="007E69C8" w:rsidRPr="00277D4A">
        <w:rPr>
          <w:sz w:val="28"/>
          <w:szCs w:val="28"/>
          <w:shd w:val="clear" w:color="auto" w:fill="FFFFFF"/>
        </w:rPr>
        <w:t xml:space="preserve"> отходов населения </w:t>
      </w:r>
      <w:r w:rsidR="00F14E0C" w:rsidRPr="00277D4A">
        <w:rPr>
          <w:sz w:val="28"/>
          <w:szCs w:val="28"/>
          <w:shd w:val="clear" w:color="auto" w:fill="FFFFFF"/>
        </w:rPr>
        <w:t xml:space="preserve">сельского </w:t>
      </w:r>
      <w:r w:rsidR="007E69C8" w:rsidRPr="00277D4A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17"/>
    </w:p>
    <w:p w:rsidR="00A5103A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F7795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твёрдых коммунальных 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отходов, местоположение таких объектов принимается в соответствии с Генеральной схемой санитарной очистки территории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Елабужс</w:t>
      </w:r>
      <w:r w:rsidR="0026586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r w:rsidR="00A5103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277D4A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твёрдых коммунальных</w:t>
      </w:r>
      <w:r w:rsidR="00511E7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95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3AD8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 для населения сельского</w:t>
      </w:r>
      <w:r w:rsidR="00511E73"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277D4A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277D4A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8" w:name="_Toc501450144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2842FC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277D4A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277D4A" w:rsidTr="00E22820">
        <w:trPr>
          <w:trHeight w:val="1666"/>
        </w:trPr>
        <w:tc>
          <w:tcPr>
            <w:tcW w:w="567" w:type="dxa"/>
            <w:vAlign w:val="center"/>
          </w:tcPr>
          <w:p w:rsidR="009B3039" w:rsidRPr="00277D4A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277D4A" w:rsidTr="009B3039">
        <w:trPr>
          <w:trHeight w:val="1243"/>
        </w:trPr>
        <w:tc>
          <w:tcPr>
            <w:tcW w:w="567" w:type="dxa"/>
            <w:vAlign w:val="center"/>
          </w:tcPr>
          <w:p w:rsidR="009B3039" w:rsidRPr="00277D4A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277D4A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277D4A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277D4A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277D4A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277D4A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277D4A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277D4A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277D4A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19" w:name="_Toc501450145"/>
      <w:r w:rsidRPr="00277D4A">
        <w:rPr>
          <w:sz w:val="28"/>
          <w:szCs w:val="28"/>
          <w:lang w:eastAsia="zh-CN" w:bidi="hi-IN"/>
        </w:rPr>
        <w:lastRenderedPageBreak/>
        <w:t>4</w:t>
      </w:r>
      <w:r w:rsidR="007E69C8" w:rsidRPr="00277D4A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52DC2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277D4A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277D4A" w:rsidTr="009B3039">
        <w:trPr>
          <w:trHeight w:val="1243"/>
        </w:trPr>
        <w:tc>
          <w:tcPr>
            <w:tcW w:w="567" w:type="dxa"/>
            <w:vAlign w:val="center"/>
          </w:tcPr>
          <w:p w:rsidR="00252DC2" w:rsidRPr="00277D4A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277D4A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277D4A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277D4A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277D4A" w:rsidTr="00163AD8">
        <w:trPr>
          <w:trHeight w:val="928"/>
        </w:trPr>
        <w:tc>
          <w:tcPr>
            <w:tcW w:w="567" w:type="dxa"/>
            <w:vAlign w:val="center"/>
          </w:tcPr>
          <w:p w:rsidR="00252DC2" w:rsidRPr="00277D4A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277D4A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277D4A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277D4A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277D4A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277D4A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0" w:name="_Toc501450146"/>
      <w:r w:rsidRPr="00277D4A">
        <w:rPr>
          <w:sz w:val="28"/>
          <w:szCs w:val="28"/>
          <w:lang w:eastAsia="zh-CN" w:bidi="hi-IN"/>
        </w:rPr>
        <w:t>4</w:t>
      </w:r>
      <w:r w:rsidR="007E69C8" w:rsidRPr="00277D4A">
        <w:rPr>
          <w:sz w:val="28"/>
          <w:szCs w:val="28"/>
          <w:lang w:eastAsia="zh-CN" w:bidi="hi-IN"/>
        </w:rPr>
        <w:t>.</w:t>
      </w:r>
      <w:r w:rsidR="00CC2DD2" w:rsidRPr="00277D4A">
        <w:rPr>
          <w:sz w:val="28"/>
          <w:szCs w:val="28"/>
          <w:lang w:eastAsia="zh-CN" w:bidi="hi-IN"/>
        </w:rPr>
        <w:t>10</w:t>
      </w:r>
      <w:r w:rsidR="007E69C8" w:rsidRPr="00277D4A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277D4A">
        <w:rPr>
          <w:sz w:val="28"/>
          <w:szCs w:val="28"/>
          <w:shd w:val="clear" w:color="auto" w:fill="FFFFFF"/>
        </w:rPr>
        <w:t>сельского</w:t>
      </w:r>
      <w:r w:rsidR="007E69C8" w:rsidRPr="00277D4A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3D39EB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277D4A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277D4A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1" w:name="_Toc501450147"/>
      <w:r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277D4A">
        <w:rPr>
          <w:sz w:val="28"/>
          <w:szCs w:val="28"/>
          <w:lang w:eastAsia="zh-CN" w:bidi="hi-IN"/>
        </w:rPr>
        <w:t>СЕЛЬСКОГО</w:t>
      </w:r>
      <w:r w:rsidRPr="00277D4A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1"/>
    </w:p>
    <w:p w:rsidR="00B14D4A" w:rsidRPr="00277D4A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2" w:name="_Toc501450148"/>
      <w:r w:rsidRPr="00277D4A">
        <w:rPr>
          <w:sz w:val="28"/>
          <w:szCs w:val="28"/>
          <w:lang w:eastAsia="zh-CN" w:bidi="hi-IN"/>
        </w:rPr>
        <w:t>5</w:t>
      </w:r>
      <w:r w:rsidR="00B14D4A" w:rsidRPr="00277D4A">
        <w:rPr>
          <w:sz w:val="28"/>
          <w:szCs w:val="28"/>
          <w:lang w:eastAsia="zh-CN" w:bidi="hi-IN"/>
        </w:rPr>
        <w:t xml:space="preserve">.1. </w:t>
      </w:r>
      <w:r w:rsidR="00A35EA8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>сельского</w:t>
      </w:r>
      <w:r w:rsidR="00A35EA8" w:rsidRPr="00277D4A">
        <w:rPr>
          <w:sz w:val="28"/>
          <w:szCs w:val="28"/>
          <w:lang w:eastAsia="zh-CN" w:bidi="hi-IN"/>
        </w:rPr>
        <w:t xml:space="preserve"> поселения в</w:t>
      </w:r>
      <w:r w:rsidR="00B14D4A" w:rsidRPr="00277D4A">
        <w:rPr>
          <w:sz w:val="28"/>
          <w:szCs w:val="28"/>
          <w:shd w:val="clear" w:color="auto" w:fill="FFFFFF"/>
        </w:rPr>
        <w:t xml:space="preserve"> объекта</w:t>
      </w:r>
      <w:r w:rsidR="00A35EA8" w:rsidRPr="00277D4A">
        <w:rPr>
          <w:sz w:val="28"/>
          <w:szCs w:val="28"/>
          <w:shd w:val="clear" w:color="auto" w:fill="FFFFFF"/>
        </w:rPr>
        <w:t>х</w:t>
      </w:r>
      <w:r w:rsidR="00B14D4A" w:rsidRPr="00277D4A">
        <w:rPr>
          <w:sz w:val="28"/>
          <w:szCs w:val="28"/>
          <w:shd w:val="clear" w:color="auto" w:fill="FFFFFF"/>
        </w:rPr>
        <w:t xml:space="preserve"> электро-</w:t>
      </w:r>
      <w:r w:rsidR="00A35EA8" w:rsidRPr="00277D4A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277D4A">
        <w:rPr>
          <w:sz w:val="28"/>
          <w:szCs w:val="28"/>
          <w:shd w:val="clear" w:color="auto" w:fill="FFFFFF"/>
        </w:rPr>
        <w:t>водоотведения</w:t>
      </w:r>
      <w:r w:rsidR="00A35EA8" w:rsidRPr="00277D4A">
        <w:rPr>
          <w:sz w:val="28"/>
          <w:szCs w:val="28"/>
          <w:shd w:val="clear" w:color="auto" w:fill="FFFFFF"/>
        </w:rPr>
        <w:t>, размещению указанных объектов</w:t>
      </w:r>
      <w:bookmarkEnd w:id="22"/>
    </w:p>
    <w:p w:rsidR="00EC11D6" w:rsidRPr="00277D4A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>5</w:t>
      </w:r>
      <w:r w:rsidR="00E602B6" w:rsidRPr="00277D4A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277D4A">
        <w:rPr>
          <w:color w:val="auto"/>
          <w:sz w:val="28"/>
          <w:szCs w:val="28"/>
          <w:lang w:eastAsia="zh-CN" w:bidi="hi-IN"/>
        </w:rPr>
        <w:t>Проектирование систем электроснабжения следует осуществлять на основе показателей электрической нагрузки на электроисточники, определяемых в соответствии с требованиями</w:t>
      </w:r>
      <w:r w:rsidR="00EC11D6" w:rsidRPr="00277D4A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277D4A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277D4A">
        <w:rPr>
          <w:color w:val="auto"/>
          <w:spacing w:val="2"/>
          <w:sz w:val="28"/>
          <w:szCs w:val="28"/>
        </w:rPr>
        <w:t xml:space="preserve"> (раздел 6)</w:t>
      </w:r>
      <w:r w:rsidR="00EC11D6" w:rsidRPr="00277D4A">
        <w:rPr>
          <w:color w:val="auto"/>
          <w:spacing w:val="2"/>
          <w:sz w:val="28"/>
          <w:szCs w:val="28"/>
        </w:rPr>
        <w:t xml:space="preserve">, </w:t>
      </w:r>
      <w:r w:rsidR="00EC11D6" w:rsidRPr="00277D4A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277D4A">
        <w:rPr>
          <w:color w:val="auto"/>
          <w:sz w:val="28"/>
          <w:szCs w:val="28"/>
        </w:rPr>
        <w:t>ЕЭС» от 02.06.2006 г</w:t>
      </w:r>
      <w:r w:rsidRPr="00277D4A">
        <w:rPr>
          <w:color w:val="auto"/>
          <w:sz w:val="28"/>
          <w:szCs w:val="28"/>
        </w:rPr>
        <w:t xml:space="preserve"> (раздел 2)</w:t>
      </w:r>
      <w:r w:rsidR="00A65006" w:rsidRPr="00277D4A">
        <w:rPr>
          <w:color w:val="auto"/>
          <w:sz w:val="28"/>
          <w:szCs w:val="28"/>
        </w:rPr>
        <w:t>.</w:t>
      </w:r>
    </w:p>
    <w:p w:rsidR="00B14D4A" w:rsidRPr="00277D4A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Укрупненны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277D4A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277D4A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277D4A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277D4A" w:rsidTr="001922FF">
        <w:tc>
          <w:tcPr>
            <w:tcW w:w="2127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277D4A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277D4A" w:rsidTr="001922FF">
        <w:trPr>
          <w:trHeight w:val="514"/>
        </w:trPr>
        <w:tc>
          <w:tcPr>
            <w:tcW w:w="2127" w:type="dxa"/>
            <w:vAlign w:val="center"/>
          </w:tcPr>
          <w:p w:rsidR="001922FF" w:rsidRPr="00277D4A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277D4A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277D4A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277D4A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0,39</w:t>
            </w:r>
          </w:p>
        </w:tc>
      </w:tr>
      <w:tr w:rsidR="001922FF" w:rsidRPr="00277D4A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Примечание.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 xml:space="preserve">2. В таблице не учтены нагрузки от мелкопромышленных предприятий. Для их учета следует применять следующие коэффициенты: 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277D4A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277D4A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277D4A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277D4A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 xml:space="preserve">Выбор </w:t>
      </w:r>
      <w:r w:rsidRPr="00277D4A">
        <w:rPr>
          <w:color w:val="auto"/>
          <w:sz w:val="28"/>
          <w:szCs w:val="28"/>
        </w:rPr>
        <w:t xml:space="preserve">напряжения </w:t>
      </w:r>
      <w:r w:rsidR="00723374" w:rsidRPr="00277D4A">
        <w:rPr>
          <w:color w:val="auto"/>
          <w:sz w:val="28"/>
          <w:szCs w:val="28"/>
        </w:rPr>
        <w:t xml:space="preserve">системы </w:t>
      </w:r>
      <w:r w:rsidRPr="00277D4A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277D4A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277D4A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277D4A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277D4A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277D4A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277D4A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277D4A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>5</w:t>
      </w:r>
      <w:r w:rsidR="002A5A9B" w:rsidRPr="00277D4A">
        <w:rPr>
          <w:color w:val="auto"/>
          <w:sz w:val="28"/>
          <w:szCs w:val="28"/>
          <w:lang w:eastAsia="zh-CN" w:bidi="hi-IN"/>
        </w:rPr>
        <w:t>.1.</w:t>
      </w:r>
      <w:r w:rsidR="00CA7A3B" w:rsidRPr="00277D4A">
        <w:rPr>
          <w:color w:val="auto"/>
          <w:sz w:val="28"/>
          <w:szCs w:val="28"/>
          <w:lang w:eastAsia="zh-CN" w:bidi="hi-IN"/>
        </w:rPr>
        <w:t>2</w:t>
      </w:r>
      <w:r w:rsidR="002A5A9B" w:rsidRPr="00277D4A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277D4A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277D4A">
        <w:rPr>
          <w:color w:val="auto"/>
          <w:sz w:val="28"/>
          <w:szCs w:val="28"/>
        </w:rPr>
        <w:t>сельского</w:t>
      </w:r>
      <w:r w:rsidR="002A5A9B" w:rsidRPr="00277D4A">
        <w:rPr>
          <w:color w:val="auto"/>
          <w:sz w:val="28"/>
          <w:szCs w:val="28"/>
        </w:rPr>
        <w:t xml:space="preserve"> поселения.</w:t>
      </w:r>
    </w:p>
    <w:p w:rsidR="002A5A9B" w:rsidRPr="00277D4A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277D4A">
        <w:rPr>
          <w:color w:val="auto"/>
          <w:sz w:val="28"/>
          <w:szCs w:val="28"/>
          <w:lang w:eastAsia="zh-CN" w:bidi="hi-IN"/>
        </w:rPr>
        <w:t xml:space="preserve">      </w:t>
      </w:r>
      <w:r w:rsidRPr="00277D4A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277D4A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277D4A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277D4A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277D4A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277D4A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lastRenderedPageBreak/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277D4A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277D4A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277D4A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277D4A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277D4A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277D4A">
        <w:rPr>
          <w:color w:val="auto"/>
          <w:sz w:val="28"/>
          <w:szCs w:val="28"/>
        </w:rPr>
        <w:t>,</w:t>
      </w:r>
      <w:r w:rsidR="006619B0" w:rsidRPr="00277D4A">
        <w:rPr>
          <w:color w:val="auto"/>
          <w:sz w:val="28"/>
          <w:szCs w:val="28"/>
        </w:rPr>
        <w:t xml:space="preserve">                СП </w:t>
      </w:r>
      <w:r w:rsidR="00CA7A3B" w:rsidRPr="00277D4A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277D4A">
        <w:rPr>
          <w:color w:val="auto"/>
          <w:sz w:val="28"/>
          <w:szCs w:val="28"/>
        </w:rPr>
        <w:t xml:space="preserve"> (раздел 12)</w:t>
      </w:r>
      <w:r w:rsidR="00CA7A3B" w:rsidRPr="00277D4A">
        <w:rPr>
          <w:color w:val="auto"/>
          <w:sz w:val="28"/>
          <w:szCs w:val="28"/>
        </w:rPr>
        <w:t>.</w:t>
      </w:r>
    </w:p>
    <w:p w:rsidR="00F4169B" w:rsidRPr="00277D4A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sz w:val="28"/>
          <w:szCs w:val="28"/>
        </w:rPr>
        <w:t>5</w:t>
      </w:r>
      <w:r w:rsidR="00B14D4A" w:rsidRPr="00277D4A">
        <w:rPr>
          <w:sz w:val="28"/>
          <w:szCs w:val="28"/>
        </w:rPr>
        <w:t>.1.</w:t>
      </w:r>
      <w:r w:rsidR="00F4169B" w:rsidRPr="00277D4A">
        <w:rPr>
          <w:sz w:val="28"/>
          <w:szCs w:val="28"/>
        </w:rPr>
        <w:t>3</w:t>
      </w:r>
      <w:r w:rsidR="00B14D4A" w:rsidRPr="00277D4A">
        <w:rPr>
          <w:sz w:val="28"/>
          <w:szCs w:val="28"/>
        </w:rPr>
        <w:t xml:space="preserve">. </w:t>
      </w:r>
      <w:r w:rsidR="00F4169B" w:rsidRPr="00277D4A">
        <w:rPr>
          <w:sz w:val="28"/>
          <w:szCs w:val="28"/>
        </w:rPr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277D4A">
        <w:rPr>
          <w:color w:val="auto"/>
          <w:sz w:val="28"/>
          <w:szCs w:val="28"/>
        </w:rPr>
        <w:t xml:space="preserve">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277D4A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277D4A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277D4A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277D4A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277D4A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277D4A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277D4A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277D4A">
        <w:rPr>
          <w:color w:val="auto"/>
          <w:sz w:val="28"/>
          <w:szCs w:val="28"/>
        </w:rPr>
        <w:t>:</w:t>
      </w:r>
    </w:p>
    <w:p w:rsidR="00F646AC" w:rsidRPr="00277D4A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277D4A">
        <w:rPr>
          <w:color w:val="auto"/>
          <w:sz w:val="28"/>
          <w:szCs w:val="28"/>
        </w:rPr>
        <w:t>–</w:t>
      </w:r>
      <w:r w:rsidRPr="00277D4A">
        <w:rPr>
          <w:color w:val="auto"/>
          <w:sz w:val="28"/>
          <w:szCs w:val="28"/>
        </w:rPr>
        <w:t xml:space="preserve"> 10</w:t>
      </w:r>
      <w:r w:rsidR="00DA473F" w:rsidRPr="00277D4A">
        <w:rPr>
          <w:color w:val="auto"/>
          <w:sz w:val="28"/>
          <w:szCs w:val="28"/>
        </w:rPr>
        <w:t xml:space="preserve"> метров;</w:t>
      </w:r>
    </w:p>
    <w:p w:rsidR="00DA473F" w:rsidRPr="00277D4A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277D4A">
        <w:rPr>
          <w:rFonts w:ascii="Times New Roman" w:hAnsi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619B0" w:rsidRPr="00277D4A">
        <w:rPr>
          <w:rFonts w:ascii="Times New Roman" w:hAnsi="Times New Roman"/>
          <w:sz w:val="28"/>
          <w:szCs w:val="28"/>
        </w:rPr>
        <w:t xml:space="preserve">           </w:t>
      </w:r>
      <w:r w:rsidR="00443F50" w:rsidRPr="00277D4A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277D4A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277D4A">
        <w:rPr>
          <w:rFonts w:ascii="Times New Roman" w:hAnsi="Times New Roman"/>
          <w:sz w:val="28"/>
          <w:szCs w:val="28"/>
        </w:rPr>
        <w:t xml:space="preserve"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</w:t>
      </w:r>
      <w:r w:rsidR="00443F50" w:rsidRPr="00277D4A">
        <w:rPr>
          <w:rFonts w:ascii="Times New Roman" w:hAnsi="Times New Roman"/>
          <w:sz w:val="28"/>
          <w:szCs w:val="28"/>
        </w:rPr>
        <w:lastRenderedPageBreak/>
        <w:t>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277D4A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t xml:space="preserve">Выбор </w:t>
      </w:r>
      <w:r w:rsidRPr="00277D4A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277D4A">
        <w:rPr>
          <w:color w:val="auto"/>
          <w:sz w:val="28"/>
          <w:szCs w:val="28"/>
        </w:rPr>
        <w:t>на</w:t>
      </w:r>
      <w:r w:rsidRPr="00277D4A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277D4A">
        <w:rPr>
          <w:color w:val="auto"/>
          <w:sz w:val="28"/>
          <w:szCs w:val="28"/>
        </w:rPr>
        <w:t>более</w:t>
      </w:r>
      <w:r w:rsidRPr="00277D4A">
        <w:rPr>
          <w:color w:val="auto"/>
          <w:sz w:val="28"/>
          <w:szCs w:val="28"/>
        </w:rPr>
        <w:t xml:space="preserve"> 100 мм; </w:t>
      </w:r>
    </w:p>
    <w:p w:rsidR="002B395F" w:rsidRPr="00277D4A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277D4A">
        <w:rPr>
          <w:color w:val="auto"/>
          <w:sz w:val="28"/>
          <w:szCs w:val="28"/>
        </w:rPr>
        <w:t xml:space="preserve"> </w:t>
      </w:r>
      <w:r w:rsidRPr="00277D4A">
        <w:rPr>
          <w:color w:val="auto"/>
          <w:sz w:val="28"/>
          <w:szCs w:val="28"/>
        </w:rPr>
        <w:t xml:space="preserve">при длине </w:t>
      </w:r>
      <w:r w:rsidR="009617D9" w:rsidRPr="00277D4A">
        <w:rPr>
          <w:color w:val="auto"/>
          <w:sz w:val="28"/>
          <w:szCs w:val="28"/>
        </w:rPr>
        <w:t>линии</w:t>
      </w:r>
      <w:r w:rsidRPr="00277D4A">
        <w:rPr>
          <w:color w:val="auto"/>
          <w:sz w:val="28"/>
          <w:szCs w:val="28"/>
        </w:rPr>
        <w:t xml:space="preserve"> не </w:t>
      </w:r>
      <w:r w:rsidR="009617D9" w:rsidRPr="00277D4A">
        <w:rPr>
          <w:color w:val="auto"/>
          <w:sz w:val="28"/>
          <w:szCs w:val="28"/>
        </w:rPr>
        <w:t>более</w:t>
      </w:r>
      <w:r w:rsidRPr="00277D4A">
        <w:rPr>
          <w:color w:val="auto"/>
          <w:sz w:val="28"/>
          <w:szCs w:val="28"/>
        </w:rPr>
        <w:t xml:space="preserve"> 200 метров. </w:t>
      </w:r>
    </w:p>
    <w:p w:rsidR="002B395F" w:rsidRPr="00277D4A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277D4A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277D4A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зданий»,</w:t>
      </w:r>
      <w:r w:rsidR="00610D83" w:rsidRPr="00277D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277D4A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277D4A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277D4A">
        <w:rPr>
          <w:rFonts w:ascii="Times New Roman" w:hAnsi="Times New Roman" w:cs="Times New Roman"/>
          <w:sz w:val="28"/>
          <w:szCs w:val="28"/>
        </w:rPr>
        <w:t>.</w:t>
      </w:r>
    </w:p>
    <w:p w:rsidR="00645750" w:rsidRPr="00277D4A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277D4A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277D4A">
        <w:rPr>
          <w:color w:val="auto"/>
          <w:sz w:val="28"/>
          <w:szCs w:val="28"/>
        </w:rPr>
        <w:t xml:space="preserve">для сельских населенных пунктов </w:t>
      </w:r>
      <w:r w:rsidRPr="00277D4A">
        <w:rPr>
          <w:color w:val="auto"/>
          <w:sz w:val="28"/>
          <w:szCs w:val="28"/>
        </w:rPr>
        <w:t>допускается принимать</w:t>
      </w:r>
      <w:r w:rsidR="00EF0944" w:rsidRPr="00277D4A">
        <w:rPr>
          <w:color w:val="auto"/>
          <w:sz w:val="28"/>
          <w:szCs w:val="28"/>
        </w:rPr>
        <w:t xml:space="preserve"> в размере</w:t>
      </w:r>
      <w:r w:rsidR="00B91641" w:rsidRPr="00277D4A">
        <w:rPr>
          <w:color w:val="auto"/>
          <w:sz w:val="28"/>
          <w:szCs w:val="28"/>
        </w:rPr>
        <w:t xml:space="preserve"> 150 л/сутки на 1 человека.</w:t>
      </w:r>
    </w:p>
    <w:p w:rsidR="007F00CC" w:rsidRPr="00277D4A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Pr="00277D4A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277D4A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3" w:name="_Toc501450149"/>
      <w:r w:rsidRPr="00277D4A">
        <w:rPr>
          <w:sz w:val="28"/>
          <w:szCs w:val="28"/>
          <w:lang w:eastAsia="zh-CN" w:bidi="hi-IN"/>
        </w:rPr>
        <w:t>5</w:t>
      </w:r>
      <w:r w:rsidR="00ED5C75" w:rsidRPr="00277D4A">
        <w:rPr>
          <w:sz w:val="28"/>
          <w:szCs w:val="28"/>
          <w:lang w:eastAsia="zh-CN" w:bidi="hi-IN"/>
        </w:rPr>
        <w:t xml:space="preserve">.2. </w:t>
      </w:r>
      <w:r w:rsidR="00553104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>сельского</w:t>
      </w:r>
      <w:r w:rsidR="00553104" w:rsidRPr="00277D4A">
        <w:rPr>
          <w:sz w:val="28"/>
          <w:szCs w:val="28"/>
          <w:lang w:eastAsia="zh-CN" w:bidi="hi-IN"/>
        </w:rPr>
        <w:t xml:space="preserve"> поселения в</w:t>
      </w:r>
      <w:r w:rsidR="00553104" w:rsidRPr="00277D4A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277D4A">
        <w:rPr>
          <w:sz w:val="28"/>
          <w:szCs w:val="28"/>
          <w:shd w:val="clear" w:color="auto" w:fill="FFFFFF"/>
        </w:rPr>
        <w:t xml:space="preserve">, </w:t>
      </w:r>
      <w:r w:rsidR="00ED5AA1" w:rsidRPr="00277D4A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277D4A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lastRenderedPageBreak/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277D4A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277D4A">
        <w:rPr>
          <w:rFonts w:ascii="Times New Roman" w:hAnsi="Times New Roman"/>
          <w:sz w:val="28"/>
          <w:szCs w:val="28"/>
        </w:rPr>
        <w:t xml:space="preserve"> (раздел 11, приложения И, К, Л)</w:t>
      </w:r>
      <w:r w:rsidR="00ED5C75" w:rsidRPr="00277D4A">
        <w:rPr>
          <w:rFonts w:ascii="Times New Roman" w:hAnsi="Times New Roman"/>
          <w:sz w:val="28"/>
          <w:szCs w:val="28"/>
        </w:rPr>
        <w:t>.</w:t>
      </w:r>
    </w:p>
    <w:p w:rsidR="000746C7" w:rsidRPr="00277D4A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277D4A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50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 xml:space="preserve">.3. </w:t>
      </w:r>
      <w:r w:rsidR="00ED5AA1" w:rsidRPr="00277D4A">
        <w:rPr>
          <w:sz w:val="28"/>
          <w:szCs w:val="28"/>
          <w:lang w:eastAsia="zh-CN" w:bidi="hi-IN"/>
        </w:rPr>
        <w:t xml:space="preserve">Рекомендации к </w:t>
      </w:r>
      <w:r w:rsidR="00ED5AA1" w:rsidRPr="00277D4A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4"/>
    </w:p>
    <w:p w:rsidR="005C3A89" w:rsidRPr="00277D4A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5" w:name="_Toc422349748"/>
      <w:bookmarkStart w:id="26" w:name="_Toc501106585"/>
      <w:bookmarkStart w:id="27" w:name="_Toc501450151"/>
      <w:r w:rsidRPr="00277D4A">
        <w:rPr>
          <w:b w:val="0"/>
          <w:sz w:val="28"/>
          <w:szCs w:val="28"/>
          <w:lang w:eastAsia="zh-CN" w:bidi="hi-IN"/>
        </w:rPr>
        <w:t>5</w:t>
      </w:r>
      <w:r w:rsidR="005C3A89" w:rsidRPr="00277D4A">
        <w:rPr>
          <w:b w:val="0"/>
          <w:sz w:val="28"/>
          <w:szCs w:val="28"/>
          <w:lang w:eastAsia="zh-CN" w:bidi="hi-IN"/>
        </w:rPr>
        <w:t>.3.</w:t>
      </w:r>
      <w:r w:rsidR="00401D90" w:rsidRPr="00277D4A">
        <w:rPr>
          <w:b w:val="0"/>
          <w:sz w:val="28"/>
          <w:szCs w:val="28"/>
          <w:lang w:eastAsia="zh-CN" w:bidi="hi-IN"/>
        </w:rPr>
        <w:t>1</w:t>
      </w:r>
      <w:r w:rsidR="005C3A89" w:rsidRPr="00277D4A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277D4A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277D4A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277D4A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277D4A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277D4A">
        <w:rPr>
          <w:b w:val="0"/>
          <w:sz w:val="28"/>
          <w:szCs w:val="28"/>
          <w:lang w:eastAsia="zh-CN" w:bidi="hi-IN"/>
        </w:rPr>
        <w:t>, а также</w:t>
      </w:r>
      <w:r w:rsidR="005C3A89" w:rsidRPr="00277D4A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5"/>
      <w:bookmarkEnd w:id="26"/>
      <w:bookmarkEnd w:id="27"/>
    </w:p>
    <w:p w:rsidR="00401D90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277D4A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277D4A" w:rsidTr="00D97739">
        <w:trPr>
          <w:trHeight w:val="518"/>
        </w:trPr>
        <w:tc>
          <w:tcPr>
            <w:tcW w:w="984" w:type="dxa"/>
            <w:vAlign w:val="center"/>
          </w:tcPr>
          <w:p w:rsidR="00AB1EB3" w:rsidRPr="00277D4A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277D4A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277D4A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277D4A" w:rsidTr="00D97739">
        <w:trPr>
          <w:trHeight w:val="1668"/>
        </w:trPr>
        <w:tc>
          <w:tcPr>
            <w:tcW w:w="984" w:type="dxa"/>
            <w:vAlign w:val="center"/>
          </w:tcPr>
          <w:p w:rsidR="00AB1EB3" w:rsidRPr="00277D4A" w:rsidRDefault="00AB1EB3" w:rsidP="00FF3E1F">
            <w:pPr>
              <w:pStyle w:val="Default"/>
              <w:jc w:val="center"/>
            </w:pPr>
            <w:r w:rsidRPr="00277D4A">
              <w:t>1</w:t>
            </w:r>
          </w:p>
        </w:tc>
        <w:tc>
          <w:tcPr>
            <w:tcW w:w="3645" w:type="dxa"/>
            <w:vAlign w:val="center"/>
          </w:tcPr>
          <w:p w:rsidR="00AB1EB3" w:rsidRPr="00277D4A" w:rsidRDefault="00D97739" w:rsidP="00FF3E1F">
            <w:pPr>
              <w:pStyle w:val="Default"/>
            </w:pPr>
            <w:r w:rsidRPr="00277D4A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277D4A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277D4A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277D4A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277D4A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277D4A" w:rsidTr="00D97739">
        <w:trPr>
          <w:trHeight w:val="698"/>
        </w:trPr>
        <w:tc>
          <w:tcPr>
            <w:tcW w:w="984" w:type="dxa"/>
            <w:vAlign w:val="center"/>
          </w:tcPr>
          <w:p w:rsidR="00AB1EB3" w:rsidRPr="00277D4A" w:rsidRDefault="00AB1EB3" w:rsidP="00FF3E1F">
            <w:pPr>
              <w:pStyle w:val="Default"/>
              <w:jc w:val="center"/>
            </w:pPr>
            <w:r w:rsidRPr="00277D4A">
              <w:t>2</w:t>
            </w:r>
          </w:p>
        </w:tc>
        <w:tc>
          <w:tcPr>
            <w:tcW w:w="3645" w:type="dxa"/>
            <w:vAlign w:val="center"/>
          </w:tcPr>
          <w:p w:rsidR="00AB1EB3" w:rsidRPr="00277D4A" w:rsidRDefault="00D97739" w:rsidP="00FF3E1F">
            <w:pPr>
              <w:pStyle w:val="Default"/>
            </w:pPr>
            <w:r w:rsidRPr="00277D4A">
              <w:t>Среднеэтажная жилая застройка</w:t>
            </w:r>
          </w:p>
        </w:tc>
        <w:tc>
          <w:tcPr>
            <w:tcW w:w="5459" w:type="dxa"/>
            <w:vAlign w:val="center"/>
          </w:tcPr>
          <w:p w:rsidR="00AB1EB3" w:rsidRPr="00277D4A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277D4A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277D4A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277D4A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277D4A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8" w:name="_Toc501450152"/>
      <w:r w:rsidRPr="00277D4A">
        <w:rPr>
          <w:sz w:val="28"/>
          <w:szCs w:val="28"/>
          <w:lang w:eastAsia="zh-CN" w:bidi="hi-IN"/>
        </w:rPr>
        <w:lastRenderedPageBreak/>
        <w:t>5</w:t>
      </w:r>
      <w:r w:rsidR="005C3A89" w:rsidRPr="00277D4A">
        <w:rPr>
          <w:sz w:val="28"/>
          <w:szCs w:val="28"/>
          <w:lang w:eastAsia="zh-CN" w:bidi="hi-IN"/>
        </w:rPr>
        <w:t xml:space="preserve">.4. </w:t>
      </w:r>
      <w:r w:rsidR="00ED5AA1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 xml:space="preserve">сельского </w:t>
      </w:r>
      <w:r w:rsidR="00ED5AA1" w:rsidRPr="00277D4A">
        <w:rPr>
          <w:sz w:val="28"/>
          <w:szCs w:val="28"/>
          <w:lang w:eastAsia="zh-CN" w:bidi="hi-IN"/>
        </w:rPr>
        <w:t>поселения в</w:t>
      </w:r>
      <w:r w:rsidR="00ED5AA1" w:rsidRPr="00277D4A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277D4A">
        <w:rPr>
          <w:sz w:val="28"/>
          <w:szCs w:val="28"/>
          <w:shd w:val="clear" w:color="auto" w:fill="FFFFFF"/>
        </w:rPr>
        <w:t>,</w:t>
      </w:r>
      <w:r w:rsidR="00ED5AA1" w:rsidRPr="00277D4A">
        <w:rPr>
          <w:sz w:val="28"/>
          <w:szCs w:val="28"/>
          <w:shd w:val="clear" w:color="auto" w:fill="FFFFFF"/>
        </w:rPr>
        <w:t xml:space="preserve"> </w:t>
      </w:r>
      <w:r w:rsidR="004C2A1F" w:rsidRPr="00277D4A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277D4A">
        <w:rPr>
          <w:sz w:val="28"/>
          <w:szCs w:val="28"/>
          <w:shd w:val="clear" w:color="auto" w:fill="FFFFFF"/>
        </w:rPr>
        <w:t>размещению указанных объектов</w:t>
      </w:r>
      <w:bookmarkEnd w:id="28"/>
    </w:p>
    <w:p w:rsidR="005C3A89" w:rsidRPr="00277D4A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277D4A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277D4A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277D4A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277D4A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277D4A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277D4A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29" w:name="_Toc501450153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 xml:space="preserve">.5. </w:t>
      </w:r>
      <w:r w:rsidR="0063152A" w:rsidRPr="00277D4A">
        <w:rPr>
          <w:sz w:val="28"/>
          <w:szCs w:val="28"/>
          <w:lang w:eastAsia="zh-CN" w:bidi="hi-IN"/>
        </w:rPr>
        <w:t xml:space="preserve">Рекомендации к </w:t>
      </w:r>
      <w:r w:rsidR="0063152A" w:rsidRPr="00277D4A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29"/>
    </w:p>
    <w:p w:rsidR="005C3A89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277D4A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277D4A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5777"/>
        <w:gridCol w:w="3326"/>
      </w:tblGrid>
      <w:tr w:rsidR="00344AEB" w:rsidRPr="00277D4A" w:rsidTr="00F30B14">
        <w:trPr>
          <w:trHeight w:val="752"/>
        </w:trPr>
        <w:tc>
          <w:tcPr>
            <w:tcW w:w="993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277D4A" w:rsidTr="00DA5CE0">
        <w:trPr>
          <w:trHeight w:val="490"/>
        </w:trPr>
        <w:tc>
          <w:tcPr>
            <w:tcW w:w="993" w:type="dxa"/>
            <w:vAlign w:val="center"/>
          </w:tcPr>
          <w:p w:rsidR="00344AEB" w:rsidRPr="00277D4A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700 – 1200 кв. метров </w:t>
            </w:r>
          </w:p>
        </w:tc>
      </w:tr>
      <w:tr w:rsidR="00344AEB" w:rsidRPr="00277D4A" w:rsidTr="00F30B14">
        <w:trPr>
          <w:trHeight w:val="486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0,25 га</w:t>
            </w:r>
          </w:p>
        </w:tc>
      </w:tr>
      <w:tr w:rsidR="00344AEB" w:rsidRPr="00277D4A" w:rsidTr="00F30B14">
        <w:trPr>
          <w:trHeight w:val="405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0,3 га</w:t>
            </w:r>
          </w:p>
        </w:tc>
      </w:tr>
      <w:tr w:rsidR="00344AEB" w:rsidRPr="00277D4A" w:rsidTr="00F30B14">
        <w:trPr>
          <w:trHeight w:val="438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40 – 100 кв. метров </w:t>
            </w:r>
          </w:p>
        </w:tc>
      </w:tr>
      <w:tr w:rsidR="00344AEB" w:rsidRPr="00277D4A" w:rsidTr="00F30B14">
        <w:trPr>
          <w:trHeight w:val="403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0,1 – 0,15 га</w:t>
            </w:r>
          </w:p>
        </w:tc>
      </w:tr>
      <w:tr w:rsidR="00344AEB" w:rsidRPr="00277D4A" w:rsidTr="00F30B14">
        <w:trPr>
          <w:trHeight w:val="409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0,05 – 0,1 га</w:t>
            </w:r>
          </w:p>
        </w:tc>
      </w:tr>
      <w:tr w:rsidR="00344AEB" w:rsidRPr="00277D4A" w:rsidTr="00F30B14">
        <w:trPr>
          <w:trHeight w:val="418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50 – 70 кв. метров </w:t>
            </w:r>
          </w:p>
        </w:tc>
      </w:tr>
      <w:tr w:rsidR="00344AEB" w:rsidRPr="00277D4A" w:rsidTr="00F30B14">
        <w:trPr>
          <w:trHeight w:val="467"/>
        </w:trPr>
        <w:tc>
          <w:tcPr>
            <w:tcW w:w="993" w:type="dxa"/>
            <w:vAlign w:val="center"/>
          </w:tcPr>
          <w:p w:rsidR="00344AEB" w:rsidRPr="00277D4A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277D4A" w:rsidRDefault="00344AEB" w:rsidP="00FF3E1F">
            <w:pPr>
              <w:pStyle w:val="Default"/>
              <w:rPr>
                <w:color w:val="auto"/>
              </w:rPr>
            </w:pPr>
            <w:r w:rsidRPr="00277D4A">
              <w:rPr>
                <w:color w:val="auto"/>
              </w:rPr>
              <w:t>0,3 – 0,5 га</w:t>
            </w:r>
          </w:p>
        </w:tc>
      </w:tr>
    </w:tbl>
    <w:p w:rsidR="00F30B14" w:rsidRPr="00277D4A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277D4A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9C05DE" w:rsidRPr="00277D4A">
        <w:rPr>
          <w:color w:val="auto"/>
          <w:sz w:val="28"/>
          <w:szCs w:val="28"/>
        </w:rPr>
        <w:t>.5.</w:t>
      </w:r>
      <w:r w:rsidR="004B7697" w:rsidRPr="00277D4A">
        <w:rPr>
          <w:color w:val="auto"/>
          <w:sz w:val="28"/>
          <w:szCs w:val="28"/>
        </w:rPr>
        <w:t>3</w:t>
      </w:r>
      <w:r w:rsidR="009C05DE" w:rsidRPr="00277D4A">
        <w:rPr>
          <w:color w:val="auto"/>
          <w:sz w:val="28"/>
          <w:szCs w:val="28"/>
        </w:rPr>
        <w:t xml:space="preserve">. </w:t>
      </w:r>
      <w:r w:rsidR="00607A70" w:rsidRPr="00277D4A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277D4A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277D4A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277D4A">
        <w:rPr>
          <w:color w:val="auto"/>
          <w:sz w:val="28"/>
          <w:szCs w:val="28"/>
        </w:rPr>
        <w:t>пахнущих веществ и пыли, за пре</w:t>
      </w:r>
      <w:r w:rsidR="00607A70" w:rsidRPr="00277D4A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277D4A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  <w:lang w:eastAsia="zh-CN" w:bidi="hi-IN"/>
        </w:rPr>
        <w:lastRenderedPageBreak/>
        <w:t>5</w:t>
      </w:r>
      <w:r w:rsidR="009C05DE" w:rsidRPr="00277D4A">
        <w:rPr>
          <w:color w:val="auto"/>
          <w:sz w:val="28"/>
          <w:szCs w:val="28"/>
          <w:lang w:eastAsia="zh-CN" w:bidi="hi-IN"/>
        </w:rPr>
        <w:t>.5.</w:t>
      </w:r>
      <w:r w:rsidR="004B7697" w:rsidRPr="00277D4A">
        <w:rPr>
          <w:color w:val="auto"/>
          <w:sz w:val="28"/>
          <w:szCs w:val="28"/>
          <w:lang w:eastAsia="zh-CN" w:bidi="hi-IN"/>
        </w:rPr>
        <w:t>4</w:t>
      </w:r>
      <w:r w:rsidR="009C05DE" w:rsidRPr="00277D4A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277D4A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277D4A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277D4A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4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>.</w:t>
      </w:r>
      <w:r w:rsidR="008B7154" w:rsidRPr="00277D4A">
        <w:rPr>
          <w:sz w:val="28"/>
          <w:szCs w:val="28"/>
          <w:lang w:eastAsia="zh-CN" w:bidi="hi-IN"/>
        </w:rPr>
        <w:t>6</w:t>
      </w:r>
      <w:r w:rsidR="005C3A89" w:rsidRPr="00277D4A">
        <w:rPr>
          <w:sz w:val="28"/>
          <w:szCs w:val="28"/>
          <w:lang w:eastAsia="zh-CN" w:bidi="hi-IN"/>
        </w:rPr>
        <w:t xml:space="preserve">. </w:t>
      </w:r>
      <w:r w:rsidR="002210C6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>сельского</w:t>
      </w:r>
      <w:r w:rsidR="002210C6" w:rsidRPr="00277D4A">
        <w:rPr>
          <w:sz w:val="28"/>
          <w:szCs w:val="28"/>
          <w:lang w:eastAsia="zh-CN" w:bidi="hi-IN"/>
        </w:rPr>
        <w:t xml:space="preserve"> поселения в</w:t>
      </w:r>
      <w:r w:rsidR="002210C6" w:rsidRPr="00277D4A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F77953" w:rsidRPr="00277D4A">
        <w:rPr>
          <w:sz w:val="28"/>
          <w:szCs w:val="28"/>
          <w:shd w:val="clear" w:color="auto" w:fill="FFFFFF"/>
        </w:rPr>
        <w:t xml:space="preserve">твёрдых коммунальных </w:t>
      </w:r>
      <w:r w:rsidR="002210C6" w:rsidRPr="00277D4A">
        <w:rPr>
          <w:sz w:val="28"/>
          <w:szCs w:val="28"/>
          <w:shd w:val="clear" w:color="auto" w:fill="FFFFFF"/>
        </w:rPr>
        <w:t xml:space="preserve"> отходов, размещению указанных объектов</w:t>
      </w:r>
      <w:bookmarkEnd w:id="30"/>
    </w:p>
    <w:p w:rsidR="003C407A" w:rsidRPr="00277D4A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F7795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277D4A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F77953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твёрдых коммунальных 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отходов</w:t>
      </w:r>
      <w:r w:rsidR="003C407A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277D4A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277D4A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277D4A">
        <w:rPr>
          <w:rFonts w:ascii="Times New Roman" w:hAnsi="Times New Roman"/>
          <w:sz w:val="28"/>
          <w:szCs w:val="28"/>
        </w:rPr>
        <w:t>3</w:t>
      </w:r>
      <w:r w:rsidR="005C3A89" w:rsidRPr="00277D4A">
        <w:rPr>
          <w:rFonts w:ascii="Times New Roman" w:hAnsi="Times New Roman"/>
          <w:sz w:val="28"/>
          <w:szCs w:val="28"/>
        </w:rPr>
        <w:t>.</w:t>
      </w:r>
    </w:p>
    <w:p w:rsidR="001B58D9" w:rsidRPr="00277D4A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277D4A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277D4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277D4A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277D4A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277D4A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277D4A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277D4A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277D4A" w:rsidTr="0038006D">
        <w:trPr>
          <w:trHeight w:val="701"/>
        </w:trPr>
        <w:tc>
          <w:tcPr>
            <w:tcW w:w="5387" w:type="dxa"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277D4A" w:rsidTr="0038006D">
        <w:trPr>
          <w:trHeight w:val="697"/>
        </w:trPr>
        <w:tc>
          <w:tcPr>
            <w:tcW w:w="5387" w:type="dxa"/>
            <w:vAlign w:val="center"/>
          </w:tcPr>
          <w:p w:rsidR="005C3A89" w:rsidRPr="00277D4A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277D4A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77D4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277D4A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277D4A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</w:t>
      </w:r>
    </w:p>
    <w:p w:rsidR="008C291D" w:rsidRPr="00277D4A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277D4A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1" w:name="_Toc501450155"/>
      <w:r w:rsidRPr="00277D4A">
        <w:rPr>
          <w:sz w:val="28"/>
          <w:szCs w:val="28"/>
          <w:lang w:eastAsia="zh-CN" w:bidi="hi-IN"/>
        </w:rPr>
        <w:lastRenderedPageBreak/>
        <w:t>5</w:t>
      </w:r>
      <w:r w:rsidR="005C3A89" w:rsidRPr="00277D4A">
        <w:rPr>
          <w:sz w:val="28"/>
          <w:szCs w:val="28"/>
          <w:lang w:eastAsia="zh-CN" w:bidi="hi-IN"/>
        </w:rPr>
        <w:t>.</w:t>
      </w:r>
      <w:r w:rsidR="008B7154" w:rsidRPr="00277D4A">
        <w:rPr>
          <w:sz w:val="28"/>
          <w:szCs w:val="28"/>
          <w:lang w:eastAsia="zh-CN" w:bidi="hi-IN"/>
        </w:rPr>
        <w:t>7</w:t>
      </w:r>
      <w:r w:rsidR="005C3A89" w:rsidRPr="00277D4A">
        <w:rPr>
          <w:sz w:val="28"/>
          <w:szCs w:val="28"/>
          <w:lang w:eastAsia="zh-CN" w:bidi="hi-IN"/>
        </w:rPr>
        <w:t xml:space="preserve">. </w:t>
      </w:r>
      <w:r w:rsidR="002210C6" w:rsidRPr="00277D4A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277D4A">
        <w:rPr>
          <w:sz w:val="28"/>
          <w:szCs w:val="28"/>
          <w:lang w:eastAsia="zh-CN" w:bidi="hi-IN"/>
        </w:rPr>
        <w:t xml:space="preserve">сельского </w:t>
      </w:r>
      <w:r w:rsidR="002210C6" w:rsidRPr="00277D4A">
        <w:rPr>
          <w:sz w:val="28"/>
          <w:szCs w:val="28"/>
          <w:lang w:eastAsia="zh-CN" w:bidi="hi-IN"/>
        </w:rPr>
        <w:t>поселения в</w:t>
      </w:r>
      <w:r w:rsidR="002210C6" w:rsidRPr="00277D4A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1"/>
    </w:p>
    <w:p w:rsidR="005C3A89" w:rsidRPr="00277D4A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</w:t>
      </w:r>
      <w:r w:rsidR="005903C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277D4A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277D4A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301C4D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7</w:t>
      </w:r>
      <w:r w:rsidR="00301C4D" w:rsidRPr="00277D4A">
        <w:rPr>
          <w:color w:val="auto"/>
          <w:sz w:val="28"/>
          <w:szCs w:val="28"/>
        </w:rPr>
        <w:t xml:space="preserve">.2. </w:t>
      </w:r>
      <w:r w:rsidR="00E933DC" w:rsidRPr="00277D4A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277D4A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277D4A">
        <w:rPr>
          <w:color w:val="auto"/>
          <w:sz w:val="28"/>
          <w:szCs w:val="28"/>
        </w:rPr>
        <w:t xml:space="preserve">туры и местных условий. </w:t>
      </w:r>
    </w:p>
    <w:p w:rsidR="00E933DC" w:rsidRPr="00277D4A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277D4A">
        <w:rPr>
          <w:color w:val="auto"/>
          <w:sz w:val="28"/>
          <w:szCs w:val="28"/>
        </w:rPr>
        <w:t>ого</w:t>
      </w:r>
      <w:r w:rsidRPr="00277D4A">
        <w:rPr>
          <w:color w:val="auto"/>
          <w:sz w:val="28"/>
          <w:szCs w:val="28"/>
        </w:rPr>
        <w:t xml:space="preserve"> пункт</w:t>
      </w:r>
      <w:r w:rsidR="00301C4D" w:rsidRPr="00277D4A">
        <w:rPr>
          <w:color w:val="auto"/>
          <w:sz w:val="28"/>
          <w:szCs w:val="28"/>
        </w:rPr>
        <w:t>а</w:t>
      </w:r>
      <w:r w:rsidRPr="00277D4A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277D4A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8656A5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7</w:t>
      </w:r>
      <w:r w:rsidR="008656A5" w:rsidRPr="00277D4A">
        <w:rPr>
          <w:color w:val="auto"/>
          <w:sz w:val="28"/>
          <w:szCs w:val="28"/>
        </w:rPr>
        <w:t xml:space="preserve">.3. </w:t>
      </w:r>
      <w:r w:rsidR="0040225A" w:rsidRPr="00277D4A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277D4A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парков</w:t>
      </w:r>
      <w:r w:rsidR="005903CE" w:rsidRPr="00277D4A">
        <w:rPr>
          <w:color w:val="auto"/>
          <w:sz w:val="28"/>
          <w:szCs w:val="28"/>
        </w:rPr>
        <w:t xml:space="preserve"> </w:t>
      </w:r>
      <w:r w:rsidRPr="00277D4A">
        <w:rPr>
          <w:color w:val="auto"/>
          <w:sz w:val="28"/>
          <w:szCs w:val="28"/>
        </w:rPr>
        <w:t xml:space="preserve">– не менее 10 га; </w:t>
      </w:r>
    </w:p>
    <w:p w:rsidR="0040225A" w:rsidRPr="00277D4A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 xml:space="preserve">садов – не менее 3 га; </w:t>
      </w:r>
    </w:p>
    <w:p w:rsidR="0040225A" w:rsidRPr="00277D4A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скверов – 0,5 га.</w:t>
      </w:r>
    </w:p>
    <w:p w:rsidR="00E72A4E" w:rsidRPr="00277D4A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277D4A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277D4A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277D4A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277D4A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2" w:name="_Toc501450156"/>
      <w:r w:rsidRPr="00277D4A">
        <w:rPr>
          <w:sz w:val="28"/>
          <w:szCs w:val="28"/>
          <w:lang w:eastAsia="zh-CN" w:bidi="hi-IN"/>
        </w:rPr>
        <w:t>5</w:t>
      </w:r>
      <w:r w:rsidR="005C3A89" w:rsidRPr="00277D4A">
        <w:rPr>
          <w:sz w:val="28"/>
          <w:szCs w:val="28"/>
          <w:lang w:eastAsia="zh-CN" w:bidi="hi-IN"/>
        </w:rPr>
        <w:t>.</w:t>
      </w:r>
      <w:r w:rsidR="008B7154" w:rsidRPr="00277D4A">
        <w:rPr>
          <w:sz w:val="28"/>
          <w:szCs w:val="28"/>
          <w:lang w:eastAsia="zh-CN" w:bidi="hi-IN"/>
        </w:rPr>
        <w:t>8</w:t>
      </w:r>
      <w:r w:rsidR="005C3A89" w:rsidRPr="00277D4A">
        <w:rPr>
          <w:sz w:val="28"/>
          <w:szCs w:val="28"/>
          <w:lang w:eastAsia="zh-CN" w:bidi="hi-IN"/>
        </w:rPr>
        <w:t xml:space="preserve">. </w:t>
      </w:r>
      <w:r w:rsidR="002210C6" w:rsidRPr="00277D4A">
        <w:rPr>
          <w:sz w:val="28"/>
          <w:szCs w:val="28"/>
          <w:lang w:eastAsia="zh-CN" w:bidi="hi-IN"/>
        </w:rPr>
        <w:t xml:space="preserve">Рекомендации </w:t>
      </w:r>
      <w:r w:rsidR="00F442A0" w:rsidRPr="00277D4A">
        <w:rPr>
          <w:sz w:val="28"/>
          <w:szCs w:val="28"/>
          <w:lang w:eastAsia="zh-CN" w:bidi="hi-IN"/>
        </w:rPr>
        <w:t>к</w:t>
      </w:r>
      <w:r w:rsidR="002210C6" w:rsidRPr="00277D4A">
        <w:rPr>
          <w:sz w:val="28"/>
          <w:szCs w:val="28"/>
          <w:lang w:eastAsia="zh-CN" w:bidi="hi-IN"/>
        </w:rPr>
        <w:t xml:space="preserve"> </w:t>
      </w:r>
      <w:r w:rsidR="002210C6" w:rsidRPr="00277D4A">
        <w:rPr>
          <w:sz w:val="28"/>
          <w:szCs w:val="28"/>
          <w:shd w:val="clear" w:color="auto" w:fill="FFFFFF"/>
        </w:rPr>
        <w:t xml:space="preserve">размещению </w:t>
      </w:r>
      <w:r w:rsidR="00654FDD" w:rsidRPr="00277D4A">
        <w:rPr>
          <w:sz w:val="28"/>
          <w:szCs w:val="28"/>
          <w:shd w:val="clear" w:color="auto" w:fill="FFFFFF"/>
        </w:rPr>
        <w:t>кладбищ</w:t>
      </w:r>
      <w:bookmarkEnd w:id="32"/>
      <w:r w:rsidR="00105337" w:rsidRPr="00277D4A">
        <w:rPr>
          <w:sz w:val="28"/>
          <w:szCs w:val="28"/>
          <w:shd w:val="clear" w:color="auto" w:fill="FFFFFF"/>
        </w:rPr>
        <w:t xml:space="preserve"> </w:t>
      </w:r>
    </w:p>
    <w:p w:rsidR="003E2008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105337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105337" w:rsidRPr="00277D4A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277D4A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F442A0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F442A0" w:rsidRPr="00277D4A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F442A0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F442A0" w:rsidRPr="00277D4A">
        <w:rPr>
          <w:color w:val="auto"/>
          <w:sz w:val="28"/>
          <w:szCs w:val="28"/>
        </w:rPr>
        <w:t xml:space="preserve">.3. </w:t>
      </w:r>
      <w:r w:rsidR="00F442A0" w:rsidRPr="00277D4A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277D4A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D4A">
        <w:rPr>
          <w:rFonts w:ascii="Times New Roman" w:hAnsi="Times New Roman" w:cs="Times New Roman"/>
          <w:sz w:val="28"/>
          <w:szCs w:val="28"/>
        </w:rPr>
        <w:t>5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  <w:r w:rsidR="008B7154" w:rsidRPr="00277D4A">
        <w:rPr>
          <w:rFonts w:ascii="Times New Roman" w:hAnsi="Times New Roman" w:cs="Times New Roman"/>
          <w:sz w:val="28"/>
          <w:szCs w:val="28"/>
        </w:rPr>
        <w:t>8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277D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277D4A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3" w:name="_Toc422349757"/>
      <w:bookmarkStart w:id="34" w:name="_Toc501106591"/>
      <w:bookmarkStart w:id="35" w:name="_Toc501450157"/>
      <w:r w:rsidRPr="00277D4A">
        <w:rPr>
          <w:b w:val="0"/>
          <w:sz w:val="28"/>
          <w:szCs w:val="28"/>
        </w:rPr>
        <w:t>5</w:t>
      </w:r>
      <w:r w:rsidR="00BA61C6" w:rsidRPr="00277D4A">
        <w:rPr>
          <w:b w:val="0"/>
          <w:sz w:val="28"/>
          <w:szCs w:val="28"/>
        </w:rPr>
        <w:t>.</w:t>
      </w:r>
      <w:r w:rsidR="008B7154" w:rsidRPr="00277D4A">
        <w:rPr>
          <w:b w:val="0"/>
          <w:sz w:val="28"/>
          <w:szCs w:val="28"/>
        </w:rPr>
        <w:t>8</w:t>
      </w:r>
      <w:r w:rsidR="00BA61C6" w:rsidRPr="00277D4A">
        <w:rPr>
          <w:b w:val="0"/>
          <w:sz w:val="28"/>
          <w:szCs w:val="28"/>
        </w:rPr>
        <w:t xml:space="preserve">.5. </w:t>
      </w:r>
      <w:r w:rsidR="00BA61C6" w:rsidRPr="00277D4A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3"/>
      <w:bookmarkEnd w:id="34"/>
      <w:bookmarkEnd w:id="35"/>
    </w:p>
    <w:p w:rsidR="003E2008" w:rsidRPr="00277D4A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D4A">
        <w:rPr>
          <w:color w:val="auto"/>
          <w:sz w:val="28"/>
          <w:szCs w:val="28"/>
        </w:rPr>
        <w:t>5</w:t>
      </w:r>
      <w:r w:rsidR="003E2008" w:rsidRPr="00277D4A">
        <w:rPr>
          <w:color w:val="auto"/>
          <w:sz w:val="28"/>
          <w:szCs w:val="28"/>
        </w:rPr>
        <w:t>.</w:t>
      </w:r>
      <w:r w:rsidR="008B7154" w:rsidRPr="00277D4A">
        <w:rPr>
          <w:color w:val="auto"/>
          <w:sz w:val="28"/>
          <w:szCs w:val="28"/>
        </w:rPr>
        <w:t>8</w:t>
      </w:r>
      <w:r w:rsidR="003E2008" w:rsidRPr="00277D4A">
        <w:rPr>
          <w:color w:val="auto"/>
          <w:sz w:val="28"/>
          <w:szCs w:val="28"/>
        </w:rPr>
        <w:t>.</w:t>
      </w:r>
      <w:r w:rsidR="00BA61C6" w:rsidRPr="00277D4A">
        <w:rPr>
          <w:color w:val="auto"/>
          <w:sz w:val="28"/>
          <w:szCs w:val="28"/>
        </w:rPr>
        <w:t>6</w:t>
      </w:r>
      <w:r w:rsidR="003E2008" w:rsidRPr="00277D4A">
        <w:rPr>
          <w:color w:val="auto"/>
          <w:sz w:val="28"/>
          <w:szCs w:val="28"/>
        </w:rPr>
        <w:t xml:space="preserve">. </w:t>
      </w:r>
      <w:r w:rsidR="005903CE" w:rsidRPr="00277D4A">
        <w:rPr>
          <w:color w:val="auto"/>
          <w:sz w:val="28"/>
          <w:szCs w:val="28"/>
        </w:rPr>
        <w:t>Сельские к</w:t>
      </w:r>
      <w:r w:rsidR="009A5D1C" w:rsidRPr="00277D4A">
        <w:rPr>
          <w:color w:val="auto"/>
          <w:sz w:val="28"/>
          <w:szCs w:val="28"/>
        </w:rPr>
        <w:t xml:space="preserve">ладбища </w:t>
      </w:r>
      <w:r w:rsidR="00654FDD" w:rsidRPr="00277D4A">
        <w:rPr>
          <w:color w:val="auto"/>
          <w:sz w:val="28"/>
          <w:szCs w:val="28"/>
        </w:rPr>
        <w:t>необходимо размещать на расстоянии</w:t>
      </w:r>
      <w:r w:rsidR="003E2008" w:rsidRPr="00277D4A">
        <w:rPr>
          <w:color w:val="auto"/>
          <w:sz w:val="28"/>
          <w:szCs w:val="28"/>
        </w:rPr>
        <w:t xml:space="preserve"> </w:t>
      </w:r>
      <w:r w:rsidR="005903CE" w:rsidRPr="00277D4A">
        <w:rPr>
          <w:color w:val="auto"/>
          <w:sz w:val="28"/>
          <w:szCs w:val="28"/>
        </w:rPr>
        <w:t xml:space="preserve">не менее 50 метров </w:t>
      </w:r>
      <w:r w:rsidR="003E2008" w:rsidRPr="00277D4A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277D4A">
        <w:rPr>
          <w:color w:val="auto"/>
          <w:sz w:val="28"/>
          <w:szCs w:val="28"/>
        </w:rPr>
        <w:t>ьных и санаторно-курортных объектов</w:t>
      </w:r>
      <w:r w:rsidR="005903CE" w:rsidRPr="00277D4A">
        <w:rPr>
          <w:color w:val="auto"/>
          <w:sz w:val="28"/>
          <w:szCs w:val="28"/>
        </w:rPr>
        <w:t>.</w:t>
      </w:r>
    </w:p>
    <w:p w:rsidR="00F442A0" w:rsidRPr="00277D4A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располагаться вне зоны возможного затопления;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277D4A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277D4A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27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277D4A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5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  <w:r w:rsidR="008B7154" w:rsidRPr="00277D4A">
        <w:rPr>
          <w:rFonts w:ascii="Times New Roman" w:hAnsi="Times New Roman" w:cs="Times New Roman"/>
          <w:sz w:val="28"/>
          <w:szCs w:val="28"/>
        </w:rPr>
        <w:t>8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  <w:r w:rsidR="00F97071" w:rsidRPr="00277D4A">
        <w:rPr>
          <w:rFonts w:ascii="Times New Roman" w:hAnsi="Times New Roman" w:cs="Times New Roman"/>
          <w:sz w:val="28"/>
          <w:szCs w:val="28"/>
        </w:rPr>
        <w:t>9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277D4A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277D4A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277D4A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277D4A">
        <w:rPr>
          <w:rFonts w:ascii="Times New Roman" w:hAnsi="Times New Roman" w:cs="Times New Roman"/>
          <w:sz w:val="28"/>
          <w:szCs w:val="28"/>
        </w:rPr>
        <w:t>1</w:t>
      </w:r>
      <w:r w:rsidR="001922FF" w:rsidRPr="00277D4A">
        <w:rPr>
          <w:rFonts w:ascii="Times New Roman" w:hAnsi="Times New Roman" w:cs="Times New Roman"/>
          <w:sz w:val="28"/>
          <w:szCs w:val="28"/>
        </w:rPr>
        <w:t>4</w:t>
      </w:r>
      <w:r w:rsidR="00BA61C6" w:rsidRPr="00277D4A">
        <w:rPr>
          <w:rFonts w:ascii="Times New Roman" w:hAnsi="Times New Roman" w:cs="Times New Roman"/>
          <w:sz w:val="28"/>
          <w:szCs w:val="28"/>
        </w:rPr>
        <w:t>.</w:t>
      </w:r>
    </w:p>
    <w:p w:rsidR="00BA61C6" w:rsidRPr="00277D4A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D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277D4A">
        <w:rPr>
          <w:rFonts w:ascii="Times New Roman" w:hAnsi="Times New Roman" w:cs="Times New Roman"/>
          <w:sz w:val="24"/>
          <w:szCs w:val="24"/>
        </w:rPr>
        <w:t>1</w:t>
      </w:r>
      <w:r w:rsidR="001922FF" w:rsidRPr="00277D4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223"/>
        <w:gridCol w:w="3079"/>
      </w:tblGrid>
      <w:tr w:rsidR="00BA61C6" w:rsidRPr="00277D4A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277D4A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277D4A" w:rsidTr="00F30B14">
        <w:trPr>
          <w:trHeight w:val="726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277D4A">
              <w:rPr>
                <w:color w:val="auto"/>
              </w:rPr>
              <w:t>2,0</w:t>
            </w:r>
          </w:p>
        </w:tc>
      </w:tr>
      <w:tr w:rsidR="00BA61C6" w:rsidRPr="00277D4A" w:rsidTr="00F30B14">
        <w:trPr>
          <w:trHeight w:val="694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277D4A" w:rsidTr="00F30B14">
        <w:trPr>
          <w:trHeight w:val="704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277D4A" w:rsidTr="00F30B14">
        <w:trPr>
          <w:trHeight w:val="687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277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277D4A" w:rsidTr="00F30B14">
        <w:trPr>
          <w:trHeight w:val="710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277D4A" w:rsidTr="00F30B14">
        <w:trPr>
          <w:trHeight w:val="706"/>
        </w:trPr>
        <w:tc>
          <w:tcPr>
            <w:tcW w:w="382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277D4A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277D4A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277D4A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277D4A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6" w:name="_Toc501450158"/>
      <w:r w:rsidRPr="00277D4A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6"/>
    </w:p>
    <w:p w:rsidR="00E47949" w:rsidRPr="00277D4A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277D4A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277D4A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277D4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12.01.1996 г. № 8-ФЗ «О погребении и похоронном деле»;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277D4A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6</w:t>
      </w:r>
      <w:r w:rsidR="00E47949" w:rsidRPr="00277D4A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277D4A">
        <w:rPr>
          <w:rFonts w:ascii="Times New Roman" w:hAnsi="Times New Roman" w:cs="Times New Roman"/>
          <w:sz w:val="28"/>
          <w:szCs w:val="28"/>
        </w:rPr>
        <w:t>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277D4A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277D4A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4A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51EB" w:rsidRPr="00277D4A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277D4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77D4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277D4A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6</w:t>
      </w:r>
      <w:r w:rsidR="00E47949" w:rsidRPr="00277D4A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277D4A">
        <w:rPr>
          <w:rFonts w:ascii="Times New Roman" w:hAnsi="Times New Roman"/>
          <w:sz w:val="28"/>
          <w:szCs w:val="28"/>
        </w:rPr>
        <w:t>сельского</w:t>
      </w:r>
      <w:r w:rsidRPr="00277D4A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277D4A">
        <w:rPr>
          <w:rFonts w:ascii="Times New Roman" w:hAnsi="Times New Roman"/>
          <w:sz w:val="28"/>
          <w:szCs w:val="28"/>
        </w:rPr>
        <w:t>сельского</w:t>
      </w:r>
      <w:r w:rsidRPr="00277D4A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r w:rsidR="0032143B" w:rsidRPr="00277D4A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294BE0" w:rsidRPr="00277D4A">
        <w:rPr>
          <w:rFonts w:ascii="Times New Roman" w:hAnsi="Times New Roman"/>
          <w:sz w:val="28"/>
          <w:szCs w:val="28"/>
        </w:rPr>
        <w:t>сельского поселения</w:t>
      </w:r>
      <w:r w:rsidRPr="00277D4A">
        <w:rPr>
          <w:rFonts w:ascii="Times New Roman" w:hAnsi="Times New Roman"/>
          <w:sz w:val="28"/>
          <w:szCs w:val="28"/>
        </w:rPr>
        <w:t xml:space="preserve"> и </w:t>
      </w:r>
      <w:r w:rsidR="000C51EB" w:rsidRPr="00277D4A">
        <w:rPr>
          <w:rFonts w:ascii="Times New Roman" w:hAnsi="Times New Roman"/>
          <w:sz w:val="28"/>
          <w:szCs w:val="28"/>
        </w:rPr>
        <w:t>Елабуж</w:t>
      </w:r>
      <w:r w:rsidR="00E72A4E" w:rsidRPr="00277D4A">
        <w:rPr>
          <w:rFonts w:ascii="Times New Roman" w:hAnsi="Times New Roman"/>
          <w:sz w:val="28"/>
          <w:szCs w:val="28"/>
        </w:rPr>
        <w:t>ского</w:t>
      </w:r>
      <w:r w:rsidRPr="00277D4A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277D4A">
        <w:rPr>
          <w:rFonts w:ascii="Times New Roman" w:hAnsi="Times New Roman"/>
          <w:sz w:val="28"/>
          <w:szCs w:val="28"/>
        </w:rPr>
        <w:t>сельского</w:t>
      </w:r>
      <w:r w:rsidRPr="00277D4A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277D4A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7D4A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7" w:name="_Toc421297944"/>
      <w:r w:rsidRPr="00277D4A">
        <w:rPr>
          <w:sz w:val="28"/>
          <w:szCs w:val="28"/>
        </w:rPr>
        <w:t>6</w:t>
      </w:r>
      <w:r w:rsidR="00E47949" w:rsidRPr="00277D4A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277D4A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277D4A">
        <w:rPr>
          <w:sz w:val="28"/>
          <w:szCs w:val="28"/>
          <w:shd w:val="clear" w:color="auto" w:fill="FFFFFF"/>
        </w:rPr>
        <w:t>сельского</w:t>
      </w:r>
      <w:r w:rsidR="00E47949" w:rsidRPr="00277D4A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277D4A">
        <w:rPr>
          <w:sz w:val="28"/>
          <w:szCs w:val="28"/>
          <w:shd w:val="clear" w:color="auto" w:fill="FFFFFF"/>
        </w:rPr>
        <w:t>сельского</w:t>
      </w:r>
      <w:r w:rsidR="00E47949" w:rsidRPr="00277D4A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Start w:id="38" w:name="_GoBack"/>
      <w:bookmarkEnd w:id="37"/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58" w:rsidRDefault="00720158" w:rsidP="00F56C74">
      <w:pPr>
        <w:spacing w:after="0" w:line="240" w:lineRule="auto"/>
      </w:pPr>
      <w:r>
        <w:separator/>
      </w:r>
    </w:p>
  </w:endnote>
  <w:endnote w:type="continuationSeparator" w:id="0">
    <w:p w:rsidR="00720158" w:rsidRDefault="00720158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277D4A">
          <w:rPr>
            <w:rFonts w:ascii="Times New Roman" w:hAnsi="Times New Roman" w:cs="Times New Roman"/>
            <w:noProof/>
          </w:rPr>
          <w:t>22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58" w:rsidRDefault="00720158" w:rsidP="00F56C74">
      <w:pPr>
        <w:spacing w:after="0" w:line="240" w:lineRule="auto"/>
      </w:pPr>
      <w:r>
        <w:separator/>
      </w:r>
    </w:p>
  </w:footnote>
  <w:footnote w:type="continuationSeparator" w:id="0">
    <w:p w:rsidR="00720158" w:rsidRDefault="00720158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77D4A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143B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353B"/>
    <w:rsid w:val="005755D9"/>
    <w:rsid w:val="00577655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158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23F4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77953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C7336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DC40A9-9C6A-439E-9EF7-475B64C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143B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spacing w:line="259" w:lineRule="auto"/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Заголовок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7C86-1177-4FF0-A2A7-8912A738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Ильдар Минемухаметов</cp:lastModifiedBy>
  <cp:revision>8</cp:revision>
  <cp:lastPrinted>2015-06-08T06:55:00Z</cp:lastPrinted>
  <dcterms:created xsi:type="dcterms:W3CDTF">2017-12-19T13:33:00Z</dcterms:created>
  <dcterms:modified xsi:type="dcterms:W3CDTF">2018-07-03T06:47:00Z</dcterms:modified>
</cp:coreProperties>
</file>